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834C" w14:textId="77777777" w:rsidR="00CB1C34" w:rsidRPr="00AA4884" w:rsidRDefault="00CB1C34" w:rsidP="00CB1C34">
      <w:pPr>
        <w:kinsoku w:val="0"/>
        <w:overflowPunct w:val="0"/>
        <w:autoSpaceDE w:val="0"/>
        <w:autoSpaceDN w:val="0"/>
        <w:adjustRightInd w:val="0"/>
        <w:spacing w:before="62"/>
        <w:rPr>
          <w:rFonts w:ascii="Arial" w:hAnsi="Arial" w:cs="Arial"/>
          <w:b/>
          <w:bCs/>
          <w:color w:val="231F20"/>
        </w:rPr>
      </w:pPr>
      <w:bookmarkStart w:id="0" w:name="OLE_LINK1"/>
      <w:r w:rsidRPr="00AA4884">
        <w:rPr>
          <w:rFonts w:ascii="Arial" w:hAnsi="Arial" w:cs="Arial"/>
          <w:b/>
          <w:bCs/>
          <w:color w:val="231F20"/>
        </w:rPr>
        <w:t>Exemptions with Limited IRB Review</w:t>
      </w:r>
    </w:p>
    <w:p w14:paraId="2010AFA9" w14:textId="77777777" w:rsidR="00CB1C34" w:rsidRPr="00AA4884" w:rsidRDefault="00CB1C34" w:rsidP="00CB1C34">
      <w:pPr>
        <w:rPr>
          <w:rFonts w:ascii="Arial" w:hAnsi="Arial" w:cs="Arial"/>
        </w:rPr>
      </w:pPr>
      <w:r w:rsidRPr="00AA4884">
        <w:rPr>
          <w:rFonts w:ascii="Arial" w:hAnsi="Arial" w:cs="Arial"/>
        </w:rPr>
        <w:t>There are four exempt categories that include a provision for limited IRB review in the Revised Common Rule (2018 requirements).  These are:</w:t>
      </w:r>
    </w:p>
    <w:p w14:paraId="0A2D8C25" w14:textId="77777777" w:rsidR="00CB1C34" w:rsidRPr="00AA4884" w:rsidRDefault="00CB1C34" w:rsidP="00CB1C34">
      <w:pPr>
        <w:rPr>
          <w:rFonts w:ascii="Arial" w:hAnsi="Arial" w:cs="Arial"/>
        </w:rPr>
      </w:pPr>
    </w:p>
    <w:p w14:paraId="7565B963" w14:textId="77777777" w:rsidR="00CB1C34" w:rsidRPr="00AA4884" w:rsidRDefault="00CB1C34" w:rsidP="00CB1C34">
      <w:pPr>
        <w:pStyle w:val="ListParagraph"/>
        <w:numPr>
          <w:ilvl w:val="0"/>
          <w:numId w:val="3"/>
        </w:numPr>
        <w:spacing w:after="160"/>
        <w:rPr>
          <w:rFonts w:ascii="Arial" w:hAnsi="Arial" w:cs="Arial"/>
        </w:rPr>
      </w:pPr>
      <w:r w:rsidRPr="00AA4884">
        <w:rPr>
          <w:rFonts w:ascii="Arial" w:hAnsi="Arial" w:cs="Arial"/>
        </w:rPr>
        <w:t>Exempt Category 2: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56727080" w14:textId="77777777" w:rsidR="00AA4884" w:rsidRPr="00AA4884" w:rsidRDefault="00AA4884" w:rsidP="00AA4884">
      <w:pPr>
        <w:pStyle w:val="ListParagraph"/>
        <w:spacing w:after="160"/>
        <w:rPr>
          <w:rFonts w:ascii="Arial" w:hAnsi="Arial" w:cs="Arial"/>
        </w:rPr>
      </w:pPr>
    </w:p>
    <w:p w14:paraId="5CDF47E6" w14:textId="77777777" w:rsidR="00AA4884" w:rsidRPr="00AA4884" w:rsidRDefault="00AA4884" w:rsidP="00AA4884">
      <w:pPr>
        <w:pStyle w:val="ListParagraph"/>
        <w:numPr>
          <w:ilvl w:val="0"/>
          <w:numId w:val="11"/>
        </w:numPr>
        <w:spacing w:after="160"/>
        <w:rPr>
          <w:rFonts w:ascii="Arial" w:hAnsi="Arial" w:cs="Arial"/>
        </w:rPr>
      </w:pPr>
      <w:r w:rsidRPr="00AA4884">
        <w:rPr>
          <w:rFonts w:ascii="Arial" w:hAnsi="Arial" w:cs="Arial"/>
        </w:rPr>
        <w:t xml:space="preserve">The information obtained is recorded by the investigator in such a manner that the identity of the human subjects cannot readily be ascertained, directly or through identifiers linked to the </w:t>
      </w:r>
      <w:proofErr w:type="gramStart"/>
      <w:r w:rsidRPr="00AA4884">
        <w:rPr>
          <w:rFonts w:ascii="Arial" w:hAnsi="Arial" w:cs="Arial"/>
        </w:rPr>
        <w:t>subjects;</w:t>
      </w:r>
      <w:proofErr w:type="gramEnd"/>
    </w:p>
    <w:p w14:paraId="7CD61BCA" w14:textId="77777777" w:rsidR="00AA4884" w:rsidRPr="00AA4884" w:rsidRDefault="00AA4884" w:rsidP="00AA4884">
      <w:pPr>
        <w:pStyle w:val="ListParagraph"/>
        <w:ind w:left="1440"/>
        <w:rPr>
          <w:rFonts w:ascii="Arial" w:hAnsi="Arial" w:cs="Arial"/>
        </w:rPr>
      </w:pPr>
    </w:p>
    <w:p w14:paraId="3CF52166" w14:textId="77777777" w:rsidR="00AA4884" w:rsidRPr="00AA4884" w:rsidRDefault="00AA4884" w:rsidP="00AA4884">
      <w:pPr>
        <w:pStyle w:val="ListParagraph"/>
        <w:numPr>
          <w:ilvl w:val="0"/>
          <w:numId w:val="11"/>
        </w:numPr>
        <w:spacing w:after="160"/>
        <w:rPr>
          <w:rFonts w:ascii="Arial" w:hAnsi="Arial" w:cs="Arial"/>
        </w:rPr>
      </w:pPr>
      <w:r w:rsidRPr="00AA4884">
        <w:rPr>
          <w:rFonts w:ascii="Arial" w:hAnsi="Arial" w:cs="Arial"/>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230F1A34" w14:textId="77777777" w:rsidR="00AA4884" w:rsidRPr="00AA4884" w:rsidRDefault="00AA4884" w:rsidP="00AA4884">
      <w:pPr>
        <w:pStyle w:val="ListParagraph"/>
        <w:rPr>
          <w:rFonts w:ascii="Arial" w:hAnsi="Arial" w:cs="Arial"/>
        </w:rPr>
      </w:pPr>
    </w:p>
    <w:p w14:paraId="3BDAD1BE" w14:textId="01C62A42" w:rsidR="00AA4884" w:rsidRPr="00AA4884" w:rsidRDefault="00AA4884" w:rsidP="00AA4884">
      <w:pPr>
        <w:pStyle w:val="ListParagraph"/>
        <w:numPr>
          <w:ilvl w:val="0"/>
          <w:numId w:val="11"/>
        </w:numPr>
        <w:spacing w:after="160"/>
        <w:rPr>
          <w:rFonts w:ascii="Arial" w:hAnsi="Arial" w:cs="Arial"/>
        </w:rPr>
      </w:pPr>
      <w:r w:rsidRPr="00AA4884">
        <w:rPr>
          <w:rFonts w:ascii="Arial" w:hAnsi="Arial" w:cs="Arial"/>
        </w:rPr>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required by 32 CFR 219.111(a)(7). </w:t>
      </w:r>
    </w:p>
    <w:p w14:paraId="06481166" w14:textId="77777777" w:rsidR="00CB1C34" w:rsidRPr="00AA4884" w:rsidRDefault="00CB1C34" w:rsidP="00CB1C34">
      <w:pPr>
        <w:pStyle w:val="BodyText"/>
        <w:numPr>
          <w:ilvl w:val="0"/>
          <w:numId w:val="3"/>
        </w:numPr>
        <w:kinsoku w:val="0"/>
        <w:overflowPunct w:val="0"/>
        <w:autoSpaceDE w:val="0"/>
        <w:autoSpaceDN w:val="0"/>
        <w:adjustRightInd w:val="0"/>
        <w:spacing w:before="56" w:after="0"/>
        <w:ind w:right="117"/>
        <w:jc w:val="both"/>
        <w:rPr>
          <w:rFonts w:ascii="Arial" w:hAnsi="Arial" w:cs="Arial"/>
          <w:color w:val="231F20"/>
        </w:rPr>
      </w:pPr>
      <w:r w:rsidRPr="00AA4884">
        <w:rPr>
          <w:rFonts w:ascii="Arial" w:hAnsi="Arial" w:cs="Arial"/>
        </w:rPr>
        <w:t xml:space="preserve">Exempt Category 3:  </w:t>
      </w:r>
      <w:r w:rsidRPr="00AA4884">
        <w:rPr>
          <w:rFonts w:ascii="Arial" w:hAnsi="Arial" w:cs="Arial"/>
          <w:color w:val="231F20"/>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2920C656" w14:textId="77777777" w:rsidR="00AA4884" w:rsidRPr="00AA4884" w:rsidRDefault="00AA4884" w:rsidP="00AA4884">
      <w:pPr>
        <w:pStyle w:val="BodyText"/>
        <w:kinsoku w:val="0"/>
        <w:overflowPunct w:val="0"/>
        <w:autoSpaceDE w:val="0"/>
        <w:autoSpaceDN w:val="0"/>
        <w:adjustRightInd w:val="0"/>
        <w:spacing w:before="56" w:after="0"/>
        <w:ind w:left="720" w:right="117"/>
        <w:jc w:val="both"/>
        <w:rPr>
          <w:rFonts w:ascii="Arial" w:hAnsi="Arial" w:cs="Arial"/>
          <w:color w:val="231F20"/>
        </w:rPr>
      </w:pPr>
    </w:p>
    <w:p w14:paraId="6B7F715C" w14:textId="77777777" w:rsidR="00AA4884" w:rsidRPr="00AA4884" w:rsidRDefault="00AA4884" w:rsidP="00AA4884">
      <w:pPr>
        <w:pStyle w:val="ListParagraph"/>
        <w:numPr>
          <w:ilvl w:val="0"/>
          <w:numId w:val="12"/>
        </w:numPr>
        <w:spacing w:after="160"/>
        <w:rPr>
          <w:rFonts w:ascii="Arial" w:hAnsi="Arial" w:cs="Arial"/>
        </w:rPr>
      </w:pPr>
      <w:r w:rsidRPr="00AA4884">
        <w:rPr>
          <w:rFonts w:ascii="Arial" w:hAnsi="Arial" w:cs="Arial"/>
        </w:rPr>
        <w:t xml:space="preserve">The information obtained is recorded by the investigator in such a manner that the identity of the human subjects cannot readily be ascertained, directly or through identifiers linked to the </w:t>
      </w:r>
      <w:proofErr w:type="gramStart"/>
      <w:r w:rsidRPr="00AA4884">
        <w:rPr>
          <w:rFonts w:ascii="Arial" w:hAnsi="Arial" w:cs="Arial"/>
        </w:rPr>
        <w:t>subjects;</w:t>
      </w:r>
      <w:proofErr w:type="gramEnd"/>
    </w:p>
    <w:p w14:paraId="132CC252" w14:textId="77777777" w:rsidR="00AA4884" w:rsidRPr="00AA4884" w:rsidRDefault="00AA4884" w:rsidP="00AA4884">
      <w:pPr>
        <w:pStyle w:val="ListParagraph"/>
        <w:ind w:left="1440"/>
        <w:rPr>
          <w:rFonts w:ascii="Arial" w:hAnsi="Arial" w:cs="Arial"/>
        </w:rPr>
      </w:pPr>
    </w:p>
    <w:p w14:paraId="37278CD8" w14:textId="77777777" w:rsidR="00AA4884" w:rsidRPr="00AA4884" w:rsidRDefault="00AA4884" w:rsidP="00AA4884">
      <w:pPr>
        <w:pStyle w:val="ListParagraph"/>
        <w:numPr>
          <w:ilvl w:val="0"/>
          <w:numId w:val="12"/>
        </w:numPr>
        <w:spacing w:after="160"/>
        <w:rPr>
          <w:rFonts w:ascii="Arial" w:hAnsi="Arial" w:cs="Arial"/>
        </w:rPr>
      </w:pPr>
      <w:r w:rsidRPr="00AA4884">
        <w:rPr>
          <w:rFonts w:ascii="Arial" w:hAnsi="Arial" w:cs="Arial"/>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03531822" w14:textId="77777777" w:rsidR="00AA4884" w:rsidRPr="00AA4884" w:rsidRDefault="00AA4884" w:rsidP="00AA4884">
      <w:pPr>
        <w:pStyle w:val="ListParagraph"/>
        <w:rPr>
          <w:rFonts w:ascii="Arial" w:hAnsi="Arial" w:cs="Arial"/>
        </w:rPr>
      </w:pPr>
    </w:p>
    <w:p w14:paraId="25D185C7" w14:textId="77777777" w:rsidR="00AA4884" w:rsidRPr="00AA4884" w:rsidRDefault="00AA4884" w:rsidP="00AA4884">
      <w:pPr>
        <w:pStyle w:val="ListParagraph"/>
        <w:numPr>
          <w:ilvl w:val="0"/>
          <w:numId w:val="12"/>
        </w:numPr>
        <w:spacing w:after="160"/>
        <w:rPr>
          <w:rFonts w:ascii="Arial" w:hAnsi="Arial" w:cs="Arial"/>
        </w:rPr>
      </w:pPr>
      <w:r w:rsidRPr="00AA4884">
        <w:rPr>
          <w:rFonts w:ascii="Arial" w:hAnsi="Arial" w:cs="Arial"/>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32 CFR 219.111(a)(7).</w:t>
      </w:r>
    </w:p>
    <w:p w14:paraId="7205EA53" w14:textId="77777777" w:rsidR="00AA4884" w:rsidRPr="00AA4884" w:rsidRDefault="00AA4884" w:rsidP="00AA4884">
      <w:pPr>
        <w:numPr>
          <w:ilvl w:val="0"/>
          <w:numId w:val="12"/>
        </w:numPr>
        <w:spacing w:after="160" w:line="256" w:lineRule="auto"/>
        <w:rPr>
          <w:rFonts w:ascii="Arial" w:hAnsi="Arial" w:cs="Arial"/>
        </w:rPr>
      </w:pPr>
      <w:proofErr w:type="gramStart"/>
      <w:r w:rsidRPr="00AA4884">
        <w:rPr>
          <w:rFonts w:ascii="Arial" w:hAnsi="Arial" w:cs="Arial"/>
        </w:rPr>
        <w:t>For the purpose of</w:t>
      </w:r>
      <w:proofErr w:type="gramEnd"/>
      <w:r w:rsidRPr="00AA4884">
        <w:rPr>
          <w:rFonts w:ascii="Arial" w:hAnsi="Arial" w:cs="Arial"/>
        </w:rPr>
        <w:t xml:space="preserve">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25B87949" w14:textId="6DFD444D" w:rsidR="00AA4884" w:rsidRPr="00AA4884" w:rsidRDefault="00AA4884" w:rsidP="00AA4884">
      <w:pPr>
        <w:numPr>
          <w:ilvl w:val="0"/>
          <w:numId w:val="12"/>
        </w:numPr>
        <w:spacing w:after="160" w:line="256" w:lineRule="auto"/>
        <w:rPr>
          <w:rFonts w:ascii="Arial" w:hAnsi="Arial" w:cs="Arial"/>
        </w:rPr>
      </w:pPr>
      <w:r w:rsidRPr="00AA4884">
        <w:rPr>
          <w:rFonts w:ascii="Arial" w:hAnsi="Arial" w:cs="Arial"/>
        </w:rPr>
        <w:t>Note: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45A8E3EE" w14:textId="77777777" w:rsidR="00CB1C34" w:rsidRPr="00AA4884" w:rsidRDefault="00CB1C34" w:rsidP="00CB1C34">
      <w:pPr>
        <w:pStyle w:val="ListParagraph"/>
        <w:numPr>
          <w:ilvl w:val="0"/>
          <w:numId w:val="3"/>
        </w:numPr>
        <w:spacing w:after="160" w:line="256" w:lineRule="auto"/>
        <w:rPr>
          <w:rFonts w:ascii="Arial" w:hAnsi="Arial" w:cs="Arial"/>
        </w:rPr>
      </w:pPr>
      <w:r w:rsidRPr="00AA4884">
        <w:rPr>
          <w:rFonts w:ascii="Arial" w:hAnsi="Arial" w:cs="Arial"/>
        </w:rPr>
        <w:t xml:space="preserve">Exempt Categories 7 &amp; 8:  For exempt categories 7 &amp; 8, limited IRB review is always required.  These categories are only available for use when broad consent will be (or has been) obtained.  </w:t>
      </w:r>
      <w:r w:rsidRPr="00AA4884">
        <w:rPr>
          <w:rFonts w:ascii="Arial" w:hAnsi="Arial" w:cs="Arial"/>
          <w:b/>
        </w:rPr>
        <w:t>Please note that the WRAIR IRB has opted-out of the broad consent option.  Consequently, these categories are not applicable to exempt protocols reviewed by the WRAIR IRB Chair/Designee or Exemption Determination Official (EDO).</w:t>
      </w:r>
    </w:p>
    <w:p w14:paraId="7BA62A7A" w14:textId="77777777" w:rsidR="00CB1C34" w:rsidRPr="00AA4884" w:rsidRDefault="00CB1C34" w:rsidP="00CB1C34">
      <w:pPr>
        <w:rPr>
          <w:rFonts w:ascii="Arial" w:hAnsi="Arial" w:cs="Arial"/>
        </w:rPr>
      </w:pPr>
    </w:p>
    <w:p w14:paraId="090979A9" w14:textId="77777777" w:rsidR="00CB1C34" w:rsidRPr="00AA4884" w:rsidRDefault="00CB1C34" w:rsidP="00CB1C34">
      <w:pPr>
        <w:rPr>
          <w:rFonts w:ascii="Arial" w:hAnsi="Arial" w:cs="Arial"/>
          <w:b/>
        </w:rPr>
      </w:pPr>
      <w:r w:rsidRPr="00AA4884">
        <w:rPr>
          <w:rFonts w:ascii="Arial" w:hAnsi="Arial" w:cs="Arial"/>
          <w:b/>
        </w:rPr>
        <w:t>Assessing when Limited IRB Review is required</w:t>
      </w:r>
    </w:p>
    <w:p w14:paraId="41E1C825" w14:textId="4B8D10C6" w:rsidR="00CB1C34" w:rsidRPr="00AA4884" w:rsidRDefault="00CB1C34" w:rsidP="00CB1C34">
      <w:pPr>
        <w:rPr>
          <w:rFonts w:ascii="Arial" w:hAnsi="Arial" w:cs="Arial"/>
          <w:color w:val="231F20"/>
        </w:rPr>
      </w:pPr>
      <w:r w:rsidRPr="00AA4884">
        <w:rPr>
          <w:rFonts w:ascii="Arial" w:hAnsi="Arial" w:cs="Arial"/>
          <w:color w:val="231F20"/>
        </w:rPr>
        <w:t xml:space="preserve">For </w:t>
      </w:r>
      <w:r w:rsidRPr="00AA4884">
        <w:rPr>
          <w:rFonts w:ascii="Arial" w:hAnsi="Arial" w:cs="Arial"/>
          <w:bCs/>
          <w:color w:val="231F20"/>
        </w:rPr>
        <w:t>exempt categories 2 &amp; 3</w:t>
      </w:r>
      <w:r w:rsidRPr="00AA4884">
        <w:rPr>
          <w:rFonts w:ascii="Arial" w:hAnsi="Arial" w:cs="Arial"/>
          <w:color w:val="231F20"/>
        </w:rPr>
        <w:t>, the requirement for limited IRB review is triggered when:</w:t>
      </w:r>
    </w:p>
    <w:p w14:paraId="5D934119" w14:textId="77777777" w:rsidR="00CB1C34" w:rsidRPr="00AA4884" w:rsidRDefault="00CB1C34" w:rsidP="00CB1C34">
      <w:pPr>
        <w:rPr>
          <w:rFonts w:ascii="Arial" w:hAnsi="Arial" w:cs="Arial"/>
          <w:color w:val="231F20"/>
        </w:rPr>
      </w:pPr>
    </w:p>
    <w:p w14:paraId="0E9BD9D6" w14:textId="77777777" w:rsidR="00CB1C34" w:rsidRPr="00AA4884" w:rsidRDefault="00CB1C34" w:rsidP="00CB1C34">
      <w:pPr>
        <w:pStyle w:val="ListParagraph"/>
        <w:numPr>
          <w:ilvl w:val="0"/>
          <w:numId w:val="5"/>
        </w:numPr>
        <w:tabs>
          <w:tab w:val="left" w:pos="821"/>
        </w:tabs>
        <w:kinsoku w:val="0"/>
        <w:overflowPunct w:val="0"/>
        <w:autoSpaceDE w:val="0"/>
        <w:autoSpaceDN w:val="0"/>
        <w:adjustRightInd w:val="0"/>
        <w:spacing w:before="1"/>
        <w:ind w:right="99"/>
        <w:jc w:val="both"/>
        <w:rPr>
          <w:rFonts w:ascii="Arial" w:hAnsi="Arial" w:cs="Arial"/>
          <w:iCs/>
          <w:color w:val="231F20"/>
        </w:rPr>
      </w:pPr>
      <w:r w:rsidRPr="00AA4884">
        <w:rPr>
          <w:rFonts w:ascii="Arial" w:hAnsi="Arial" w:cs="Arial"/>
          <w:color w:val="231F20"/>
        </w:rPr>
        <w:t>T</w:t>
      </w:r>
      <w:r w:rsidRPr="00AA4884">
        <w:rPr>
          <w:rFonts w:ascii="Arial" w:hAnsi="Arial" w:cs="Arial"/>
          <w:iCs/>
          <w:color w:val="231F20"/>
        </w:rPr>
        <w:t xml:space="preserve">he information obtained is recorded by the investigator in such a manner that the identity of </w:t>
      </w:r>
      <w:r w:rsidRPr="00AA4884">
        <w:rPr>
          <w:rFonts w:ascii="Arial" w:hAnsi="Arial" w:cs="Arial"/>
          <w:iCs/>
          <w:color w:val="231F20"/>
          <w:spacing w:val="-2"/>
        </w:rPr>
        <w:t xml:space="preserve">the </w:t>
      </w:r>
      <w:r w:rsidRPr="00AA4884">
        <w:rPr>
          <w:rFonts w:ascii="Arial" w:hAnsi="Arial" w:cs="Arial"/>
          <w:iCs/>
          <w:color w:val="231F20"/>
        </w:rPr>
        <w:t xml:space="preserve">human subjects </w:t>
      </w:r>
      <w:r w:rsidRPr="00AA4884">
        <w:rPr>
          <w:rFonts w:ascii="Arial" w:hAnsi="Arial" w:cs="Arial"/>
          <w:iCs/>
          <w:color w:val="231F20"/>
          <w:u w:val="single"/>
        </w:rPr>
        <w:t xml:space="preserve">can </w:t>
      </w:r>
      <w:r w:rsidRPr="00AA4884">
        <w:rPr>
          <w:rFonts w:ascii="Arial" w:hAnsi="Arial" w:cs="Arial"/>
          <w:iCs/>
          <w:color w:val="231F20"/>
        </w:rPr>
        <w:t>readily be ascertained, directly or through identifiers linked to the</w:t>
      </w:r>
      <w:r w:rsidRPr="00AA4884">
        <w:rPr>
          <w:rFonts w:ascii="Arial" w:hAnsi="Arial" w:cs="Arial"/>
          <w:iCs/>
          <w:color w:val="231F20"/>
          <w:spacing w:val="33"/>
        </w:rPr>
        <w:t xml:space="preserve"> </w:t>
      </w:r>
      <w:r w:rsidRPr="00AA4884">
        <w:rPr>
          <w:rFonts w:ascii="Arial" w:hAnsi="Arial" w:cs="Arial"/>
          <w:iCs/>
          <w:color w:val="231F20"/>
        </w:rPr>
        <w:t>subjects</w:t>
      </w:r>
      <w:r w:rsidRPr="00AA4884">
        <w:rPr>
          <w:rFonts w:ascii="Arial" w:hAnsi="Arial" w:cs="Arial"/>
          <w:color w:val="231F20"/>
        </w:rPr>
        <w:t>; AND</w:t>
      </w:r>
    </w:p>
    <w:p w14:paraId="0C00A828" w14:textId="77777777" w:rsidR="00CB1C34" w:rsidRPr="00AA4884" w:rsidRDefault="00CB1C34" w:rsidP="00CB1C34">
      <w:pPr>
        <w:tabs>
          <w:tab w:val="left" w:pos="821"/>
        </w:tabs>
        <w:kinsoku w:val="0"/>
        <w:overflowPunct w:val="0"/>
        <w:autoSpaceDE w:val="0"/>
        <w:autoSpaceDN w:val="0"/>
        <w:adjustRightInd w:val="0"/>
        <w:spacing w:before="1"/>
        <w:ind w:right="99"/>
        <w:jc w:val="both"/>
        <w:rPr>
          <w:rFonts w:ascii="Arial" w:hAnsi="Arial" w:cs="Arial"/>
          <w:color w:val="231F20"/>
        </w:rPr>
      </w:pPr>
    </w:p>
    <w:p w14:paraId="103FCFF7" w14:textId="77777777" w:rsidR="00CB1C34" w:rsidRPr="00AA4884" w:rsidRDefault="00CB1C34" w:rsidP="00CB1C34">
      <w:pPr>
        <w:pStyle w:val="ListParagraph"/>
        <w:numPr>
          <w:ilvl w:val="0"/>
          <w:numId w:val="5"/>
        </w:numPr>
        <w:tabs>
          <w:tab w:val="left" w:pos="821"/>
        </w:tabs>
        <w:kinsoku w:val="0"/>
        <w:overflowPunct w:val="0"/>
        <w:autoSpaceDE w:val="0"/>
        <w:autoSpaceDN w:val="0"/>
        <w:adjustRightInd w:val="0"/>
        <w:spacing w:before="1"/>
        <w:ind w:right="99"/>
        <w:jc w:val="both"/>
        <w:rPr>
          <w:rFonts w:ascii="Arial" w:hAnsi="Arial" w:cs="Arial"/>
          <w:iCs/>
          <w:color w:val="231F20"/>
        </w:rPr>
      </w:pPr>
      <w:r w:rsidRPr="00AA4884">
        <w:rPr>
          <w:rFonts w:ascii="Arial" w:hAnsi="Arial" w:cs="Arial"/>
          <w:iCs/>
          <w:color w:val="231F20"/>
        </w:rPr>
        <w:lastRenderedPageBreak/>
        <w:t>Any</w:t>
      </w:r>
      <w:r w:rsidRPr="00AA4884">
        <w:rPr>
          <w:rFonts w:ascii="Arial" w:hAnsi="Arial" w:cs="Arial"/>
          <w:iCs/>
          <w:color w:val="231F20"/>
          <w:spacing w:val="-1"/>
        </w:rPr>
        <w:t xml:space="preserve"> </w:t>
      </w:r>
      <w:r w:rsidRPr="00AA4884">
        <w:rPr>
          <w:rFonts w:ascii="Arial" w:hAnsi="Arial" w:cs="Arial"/>
          <w:iCs/>
          <w:color w:val="231F20"/>
        </w:rPr>
        <w:t>disclosure</w:t>
      </w:r>
      <w:r w:rsidRPr="00AA4884">
        <w:rPr>
          <w:rFonts w:ascii="Arial" w:hAnsi="Arial" w:cs="Arial"/>
          <w:iCs/>
          <w:color w:val="231F20"/>
          <w:spacing w:val="1"/>
        </w:rPr>
        <w:t xml:space="preserve"> </w:t>
      </w:r>
      <w:r w:rsidRPr="00AA4884">
        <w:rPr>
          <w:rFonts w:ascii="Arial" w:hAnsi="Arial" w:cs="Arial"/>
          <w:iCs/>
          <w:color w:val="231F20"/>
        </w:rPr>
        <w:t>of</w:t>
      </w:r>
      <w:r w:rsidRPr="00AA4884">
        <w:rPr>
          <w:rFonts w:ascii="Arial" w:hAnsi="Arial" w:cs="Arial"/>
          <w:iCs/>
          <w:color w:val="231F20"/>
          <w:spacing w:val="2"/>
        </w:rPr>
        <w:t xml:space="preserve"> </w:t>
      </w:r>
      <w:r w:rsidRPr="00AA4884">
        <w:rPr>
          <w:rFonts w:ascii="Arial" w:hAnsi="Arial" w:cs="Arial"/>
          <w:iCs/>
          <w:color w:val="231F20"/>
        </w:rPr>
        <w:t>the human</w:t>
      </w:r>
      <w:r w:rsidRPr="00AA4884">
        <w:rPr>
          <w:rFonts w:ascii="Arial" w:hAnsi="Arial" w:cs="Arial"/>
          <w:iCs/>
          <w:color w:val="231F20"/>
          <w:spacing w:val="1"/>
        </w:rPr>
        <w:t xml:space="preserve"> </w:t>
      </w:r>
      <w:r w:rsidRPr="00AA4884">
        <w:rPr>
          <w:rFonts w:ascii="Arial" w:hAnsi="Arial" w:cs="Arial"/>
          <w:iCs/>
          <w:color w:val="231F20"/>
        </w:rPr>
        <w:t>subjects’</w:t>
      </w:r>
      <w:r w:rsidRPr="00AA4884">
        <w:rPr>
          <w:rFonts w:ascii="Arial" w:hAnsi="Arial" w:cs="Arial"/>
          <w:iCs/>
          <w:color w:val="231F20"/>
          <w:spacing w:val="-1"/>
        </w:rPr>
        <w:t xml:space="preserve"> </w:t>
      </w:r>
      <w:r w:rsidRPr="00AA4884">
        <w:rPr>
          <w:rFonts w:ascii="Arial" w:hAnsi="Arial" w:cs="Arial"/>
          <w:iCs/>
          <w:color w:val="231F20"/>
        </w:rPr>
        <w:t>responses outside</w:t>
      </w:r>
      <w:r w:rsidRPr="00AA4884">
        <w:rPr>
          <w:rFonts w:ascii="Arial" w:hAnsi="Arial" w:cs="Arial"/>
          <w:iCs/>
          <w:color w:val="231F20"/>
          <w:spacing w:val="1"/>
        </w:rPr>
        <w:t xml:space="preserve"> </w:t>
      </w:r>
      <w:r w:rsidRPr="00AA4884">
        <w:rPr>
          <w:rFonts w:ascii="Arial" w:hAnsi="Arial" w:cs="Arial"/>
          <w:iCs/>
          <w:color w:val="231F20"/>
        </w:rPr>
        <w:t>the</w:t>
      </w:r>
      <w:r w:rsidRPr="00AA4884">
        <w:rPr>
          <w:rFonts w:ascii="Arial" w:hAnsi="Arial" w:cs="Arial"/>
          <w:iCs/>
          <w:color w:val="231F20"/>
          <w:spacing w:val="-3"/>
        </w:rPr>
        <w:t xml:space="preserve"> </w:t>
      </w:r>
      <w:r w:rsidRPr="00AA4884">
        <w:rPr>
          <w:rFonts w:ascii="Arial" w:hAnsi="Arial" w:cs="Arial"/>
          <w:iCs/>
          <w:color w:val="231F20"/>
        </w:rPr>
        <w:t>research</w:t>
      </w:r>
      <w:r w:rsidRPr="00AA4884">
        <w:rPr>
          <w:rFonts w:ascii="Arial" w:hAnsi="Arial" w:cs="Arial"/>
          <w:iCs/>
          <w:color w:val="231F20"/>
          <w:spacing w:val="8"/>
        </w:rPr>
        <w:t xml:space="preserve"> </w:t>
      </w:r>
      <w:r w:rsidRPr="00AA4884">
        <w:rPr>
          <w:rFonts w:ascii="Arial" w:hAnsi="Arial" w:cs="Arial"/>
          <w:iCs/>
          <w:color w:val="231F20"/>
          <w:u w:val="single"/>
        </w:rPr>
        <w:t>would</w:t>
      </w:r>
      <w:r w:rsidRPr="00AA4884">
        <w:rPr>
          <w:rFonts w:ascii="Arial" w:hAnsi="Arial" w:cs="Arial"/>
          <w:iCs/>
          <w:color w:val="231F20"/>
          <w:spacing w:val="-3"/>
          <w:u w:val="single"/>
        </w:rPr>
        <w:t xml:space="preserve"> </w:t>
      </w:r>
      <w:r w:rsidRPr="00AA4884">
        <w:rPr>
          <w:rFonts w:ascii="Arial" w:hAnsi="Arial" w:cs="Arial"/>
          <w:iCs/>
          <w:color w:val="231F20"/>
          <w:u w:val="single"/>
        </w:rPr>
        <w:t>reasonably</w:t>
      </w:r>
      <w:r w:rsidRPr="00AA4884">
        <w:rPr>
          <w:rFonts w:ascii="Arial" w:hAnsi="Arial" w:cs="Arial"/>
          <w:iCs/>
          <w:color w:val="231F20"/>
          <w:spacing w:val="1"/>
        </w:rPr>
        <w:t xml:space="preserve"> </w:t>
      </w:r>
      <w:r w:rsidRPr="00AA4884">
        <w:rPr>
          <w:rFonts w:ascii="Arial" w:hAnsi="Arial" w:cs="Arial"/>
          <w:iCs/>
          <w:color w:val="231F20"/>
        </w:rPr>
        <w:t>place</w:t>
      </w:r>
      <w:r w:rsidRPr="00AA4884">
        <w:rPr>
          <w:rFonts w:ascii="Arial" w:hAnsi="Arial" w:cs="Arial"/>
          <w:iCs/>
          <w:color w:val="231F20"/>
          <w:spacing w:val="-3"/>
        </w:rPr>
        <w:t xml:space="preserve"> </w:t>
      </w:r>
      <w:r w:rsidRPr="00AA4884">
        <w:rPr>
          <w:rFonts w:ascii="Arial" w:hAnsi="Arial" w:cs="Arial"/>
          <w:iCs/>
          <w:color w:val="231F20"/>
        </w:rPr>
        <w:t>the subjects</w:t>
      </w:r>
      <w:r w:rsidRPr="00AA4884">
        <w:rPr>
          <w:rFonts w:ascii="Arial" w:hAnsi="Arial" w:cs="Arial"/>
          <w:iCs/>
          <w:color w:val="231F20"/>
          <w:spacing w:val="27"/>
        </w:rPr>
        <w:t xml:space="preserve"> </w:t>
      </w:r>
      <w:r w:rsidRPr="00AA4884">
        <w:rPr>
          <w:rFonts w:ascii="Arial" w:hAnsi="Arial" w:cs="Arial"/>
          <w:iCs/>
          <w:color w:val="231F20"/>
        </w:rPr>
        <w:t>at</w:t>
      </w:r>
      <w:r w:rsidRPr="00AA4884">
        <w:rPr>
          <w:rFonts w:ascii="Arial" w:hAnsi="Arial" w:cs="Arial"/>
          <w:iCs/>
          <w:color w:val="231F20"/>
          <w:spacing w:val="23"/>
        </w:rPr>
        <w:t xml:space="preserve"> </w:t>
      </w:r>
      <w:r w:rsidRPr="00AA4884">
        <w:rPr>
          <w:rFonts w:ascii="Arial" w:hAnsi="Arial" w:cs="Arial"/>
          <w:iCs/>
          <w:color w:val="231F20"/>
        </w:rPr>
        <w:t>risk</w:t>
      </w:r>
      <w:r w:rsidRPr="00AA4884">
        <w:rPr>
          <w:rFonts w:ascii="Arial" w:hAnsi="Arial" w:cs="Arial"/>
          <w:iCs/>
          <w:color w:val="231F20"/>
          <w:spacing w:val="29"/>
        </w:rPr>
        <w:t xml:space="preserve"> </w:t>
      </w:r>
      <w:r w:rsidRPr="00AA4884">
        <w:rPr>
          <w:rFonts w:ascii="Arial" w:hAnsi="Arial" w:cs="Arial"/>
          <w:iCs/>
          <w:color w:val="231F20"/>
        </w:rPr>
        <w:t>of</w:t>
      </w:r>
      <w:r w:rsidRPr="00AA4884">
        <w:rPr>
          <w:rFonts w:ascii="Arial" w:hAnsi="Arial" w:cs="Arial"/>
          <w:iCs/>
          <w:color w:val="231F20"/>
          <w:spacing w:val="29"/>
        </w:rPr>
        <w:t xml:space="preserve"> </w:t>
      </w:r>
      <w:r w:rsidRPr="00AA4884">
        <w:rPr>
          <w:rFonts w:ascii="Arial" w:hAnsi="Arial" w:cs="Arial"/>
          <w:iCs/>
          <w:color w:val="231F20"/>
        </w:rPr>
        <w:t>criminal</w:t>
      </w:r>
      <w:r w:rsidRPr="00AA4884">
        <w:rPr>
          <w:rFonts w:ascii="Arial" w:hAnsi="Arial" w:cs="Arial"/>
          <w:iCs/>
          <w:color w:val="231F20"/>
          <w:spacing w:val="26"/>
        </w:rPr>
        <w:t xml:space="preserve"> </w:t>
      </w:r>
      <w:r w:rsidRPr="00AA4884">
        <w:rPr>
          <w:rFonts w:ascii="Arial" w:hAnsi="Arial" w:cs="Arial"/>
          <w:iCs/>
          <w:color w:val="231F20"/>
        </w:rPr>
        <w:t>or</w:t>
      </w:r>
      <w:r w:rsidRPr="00AA4884">
        <w:rPr>
          <w:rFonts w:ascii="Arial" w:hAnsi="Arial" w:cs="Arial"/>
          <w:iCs/>
          <w:color w:val="231F20"/>
          <w:spacing w:val="25"/>
        </w:rPr>
        <w:t xml:space="preserve"> </w:t>
      </w:r>
      <w:r w:rsidRPr="00AA4884">
        <w:rPr>
          <w:rFonts w:ascii="Arial" w:hAnsi="Arial" w:cs="Arial"/>
          <w:iCs/>
          <w:color w:val="231F20"/>
        </w:rPr>
        <w:t>civil</w:t>
      </w:r>
      <w:r w:rsidRPr="00AA4884">
        <w:rPr>
          <w:rFonts w:ascii="Arial" w:hAnsi="Arial" w:cs="Arial"/>
          <w:iCs/>
          <w:color w:val="231F20"/>
          <w:spacing w:val="26"/>
        </w:rPr>
        <w:t xml:space="preserve"> </w:t>
      </w:r>
      <w:r w:rsidRPr="00AA4884">
        <w:rPr>
          <w:rFonts w:ascii="Arial" w:hAnsi="Arial" w:cs="Arial"/>
          <w:iCs/>
          <w:color w:val="231F20"/>
        </w:rPr>
        <w:t>liability</w:t>
      </w:r>
      <w:r w:rsidRPr="00AA4884">
        <w:rPr>
          <w:rFonts w:ascii="Arial" w:hAnsi="Arial" w:cs="Arial"/>
          <w:iCs/>
          <w:color w:val="231F20"/>
          <w:spacing w:val="35"/>
        </w:rPr>
        <w:t xml:space="preserve"> </w:t>
      </w:r>
      <w:r w:rsidRPr="00AA4884">
        <w:rPr>
          <w:rFonts w:ascii="Arial" w:hAnsi="Arial" w:cs="Arial"/>
          <w:iCs/>
          <w:color w:val="231F20"/>
        </w:rPr>
        <w:t>or</w:t>
      </w:r>
      <w:r w:rsidRPr="00AA4884">
        <w:rPr>
          <w:rFonts w:ascii="Arial" w:hAnsi="Arial" w:cs="Arial"/>
          <w:iCs/>
          <w:color w:val="231F20"/>
          <w:spacing w:val="25"/>
        </w:rPr>
        <w:t xml:space="preserve"> </w:t>
      </w:r>
      <w:r w:rsidRPr="00AA4884">
        <w:rPr>
          <w:rFonts w:ascii="Arial" w:hAnsi="Arial" w:cs="Arial"/>
          <w:iCs/>
          <w:color w:val="231F20"/>
        </w:rPr>
        <w:t>be</w:t>
      </w:r>
      <w:r w:rsidRPr="00AA4884">
        <w:rPr>
          <w:rFonts w:ascii="Arial" w:hAnsi="Arial" w:cs="Arial"/>
          <w:iCs/>
          <w:color w:val="231F20"/>
          <w:spacing w:val="27"/>
        </w:rPr>
        <w:t xml:space="preserve"> </w:t>
      </w:r>
      <w:r w:rsidRPr="00AA4884">
        <w:rPr>
          <w:rFonts w:ascii="Arial" w:hAnsi="Arial" w:cs="Arial"/>
          <w:iCs/>
          <w:color w:val="231F20"/>
        </w:rPr>
        <w:t>damaging</w:t>
      </w:r>
      <w:r w:rsidRPr="00AA4884">
        <w:rPr>
          <w:rFonts w:ascii="Arial" w:hAnsi="Arial" w:cs="Arial"/>
          <w:iCs/>
          <w:color w:val="231F20"/>
          <w:spacing w:val="30"/>
        </w:rPr>
        <w:t xml:space="preserve"> </w:t>
      </w:r>
      <w:r w:rsidRPr="00AA4884">
        <w:rPr>
          <w:rFonts w:ascii="Arial" w:hAnsi="Arial" w:cs="Arial"/>
          <w:iCs/>
          <w:color w:val="231F20"/>
        </w:rPr>
        <w:t>to</w:t>
      </w:r>
      <w:r w:rsidRPr="00AA4884">
        <w:rPr>
          <w:rFonts w:ascii="Arial" w:hAnsi="Arial" w:cs="Arial"/>
          <w:iCs/>
          <w:color w:val="231F20"/>
          <w:spacing w:val="28"/>
        </w:rPr>
        <w:t xml:space="preserve"> </w:t>
      </w:r>
      <w:r w:rsidRPr="00AA4884">
        <w:rPr>
          <w:rFonts w:ascii="Arial" w:hAnsi="Arial" w:cs="Arial"/>
          <w:iCs/>
          <w:color w:val="231F20"/>
        </w:rPr>
        <w:t>the</w:t>
      </w:r>
      <w:r w:rsidRPr="00AA4884">
        <w:rPr>
          <w:rFonts w:ascii="Arial" w:hAnsi="Arial" w:cs="Arial"/>
          <w:iCs/>
          <w:color w:val="231F20"/>
          <w:spacing w:val="27"/>
        </w:rPr>
        <w:t xml:space="preserve"> </w:t>
      </w:r>
      <w:r w:rsidRPr="00AA4884">
        <w:rPr>
          <w:rFonts w:ascii="Arial" w:hAnsi="Arial" w:cs="Arial"/>
          <w:iCs/>
          <w:color w:val="231F20"/>
        </w:rPr>
        <w:t>subjects’</w:t>
      </w:r>
      <w:r w:rsidRPr="00AA4884">
        <w:rPr>
          <w:rFonts w:ascii="Arial" w:hAnsi="Arial" w:cs="Arial"/>
          <w:iCs/>
          <w:color w:val="231F20"/>
          <w:spacing w:val="26"/>
        </w:rPr>
        <w:t xml:space="preserve"> </w:t>
      </w:r>
      <w:r w:rsidRPr="00AA4884">
        <w:rPr>
          <w:rFonts w:ascii="Arial" w:hAnsi="Arial" w:cs="Arial"/>
          <w:iCs/>
          <w:color w:val="231F20"/>
        </w:rPr>
        <w:t>financial</w:t>
      </w:r>
      <w:r w:rsidRPr="00AA4884">
        <w:rPr>
          <w:rFonts w:ascii="Arial" w:hAnsi="Arial" w:cs="Arial"/>
          <w:iCs/>
          <w:color w:val="231F20"/>
          <w:spacing w:val="30"/>
        </w:rPr>
        <w:t xml:space="preserve"> </w:t>
      </w:r>
      <w:r w:rsidRPr="00AA4884">
        <w:rPr>
          <w:rFonts w:ascii="Arial" w:hAnsi="Arial" w:cs="Arial"/>
          <w:iCs/>
          <w:color w:val="231F20"/>
        </w:rPr>
        <w:t>standing, employability, educational advancement, or reputation.</w:t>
      </w:r>
    </w:p>
    <w:p w14:paraId="68512E76" w14:textId="77777777" w:rsidR="00CB1C34" w:rsidRPr="00AA4884" w:rsidRDefault="00CB1C34" w:rsidP="00CB1C34">
      <w:pPr>
        <w:rPr>
          <w:rFonts w:ascii="Arial" w:hAnsi="Arial" w:cs="Arial"/>
          <w:b/>
        </w:rPr>
      </w:pPr>
    </w:p>
    <w:p w14:paraId="4C99E8B8" w14:textId="77777777" w:rsidR="00CB1C34" w:rsidRPr="00AA4884" w:rsidRDefault="00CB1C34" w:rsidP="00CB1C34">
      <w:pPr>
        <w:pStyle w:val="BodyText"/>
        <w:kinsoku w:val="0"/>
        <w:overflowPunct w:val="0"/>
        <w:spacing w:before="59"/>
        <w:rPr>
          <w:rFonts w:ascii="Arial" w:hAnsi="Arial" w:cs="Arial"/>
          <w:b/>
          <w:bCs/>
          <w:iCs/>
          <w:color w:val="231F20"/>
        </w:rPr>
      </w:pPr>
      <w:r w:rsidRPr="00AA4884">
        <w:rPr>
          <w:rFonts w:ascii="Arial" w:hAnsi="Arial" w:cs="Arial"/>
          <w:b/>
          <w:bCs/>
          <w:iCs/>
          <w:color w:val="231F20"/>
        </w:rPr>
        <w:t>Eligibility for Exempt Category 2</w:t>
      </w:r>
    </w:p>
    <w:p w14:paraId="57F7587C" w14:textId="77777777" w:rsidR="00CB1C34" w:rsidRPr="00AA4884" w:rsidRDefault="00CB1C34" w:rsidP="00CB1C34">
      <w:pPr>
        <w:pStyle w:val="BodyText"/>
        <w:kinsoku w:val="0"/>
        <w:overflowPunct w:val="0"/>
        <w:spacing w:before="59"/>
        <w:rPr>
          <w:rFonts w:ascii="Arial" w:hAnsi="Arial" w:cs="Arial"/>
          <w:b/>
          <w:bCs/>
          <w:iCs/>
          <w:color w:val="231F20"/>
        </w:rPr>
      </w:pPr>
      <w:r w:rsidRPr="00AA4884">
        <w:rPr>
          <w:rFonts w:ascii="Arial" w:hAnsi="Arial" w:cs="Arial"/>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6797436B" w14:textId="77777777" w:rsidR="00E75576" w:rsidRPr="00AA4884" w:rsidRDefault="00E75576" w:rsidP="00F56288">
      <w:pPr>
        <w:ind w:right="288"/>
        <w:rPr>
          <w:rFonts w:ascii="Arial" w:hAnsi="Arial" w:cs="Arial"/>
          <w:b/>
        </w:rPr>
      </w:pPr>
    </w:p>
    <w:tbl>
      <w:tblPr>
        <w:tblW w:w="939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2"/>
        <w:gridCol w:w="1473"/>
        <w:gridCol w:w="1760"/>
      </w:tblGrid>
      <w:tr w:rsidR="00CB1C34" w:rsidRPr="00AA4884" w14:paraId="4B832D61" w14:textId="2C4CF1C3" w:rsidTr="00AA4884">
        <w:trPr>
          <w:trHeight w:val="229"/>
        </w:trPr>
        <w:tc>
          <w:tcPr>
            <w:tcW w:w="6162" w:type="dxa"/>
            <w:shd w:val="clear" w:color="auto" w:fill="EFEFEF"/>
            <w:tcMar>
              <w:top w:w="100" w:type="dxa"/>
              <w:left w:w="100" w:type="dxa"/>
              <w:bottom w:w="100" w:type="dxa"/>
              <w:right w:w="100" w:type="dxa"/>
            </w:tcMar>
          </w:tcPr>
          <w:p w14:paraId="31A61512" w14:textId="093CAD05" w:rsidR="00CB1C34" w:rsidRPr="00AA4884" w:rsidRDefault="00CB1C34" w:rsidP="00593FEA">
            <w:pPr>
              <w:widowControl w:val="0"/>
              <w:rPr>
                <w:rFonts w:ascii="Arial" w:hAnsi="Arial" w:cs="Arial"/>
                <w:b/>
              </w:rPr>
            </w:pPr>
            <w:r w:rsidRPr="00AA4884">
              <w:rPr>
                <w:rFonts w:ascii="Arial" w:hAnsi="Arial" w:cs="Arial"/>
                <w:b/>
              </w:rPr>
              <w:t>Criteria</w:t>
            </w:r>
          </w:p>
        </w:tc>
        <w:tc>
          <w:tcPr>
            <w:tcW w:w="1473" w:type="dxa"/>
            <w:shd w:val="clear" w:color="auto" w:fill="EFEFEF"/>
          </w:tcPr>
          <w:p w14:paraId="241B85E9" w14:textId="3DC27CD3" w:rsidR="00CB1C34" w:rsidRPr="00AA4884" w:rsidRDefault="00CB1C34" w:rsidP="00593FEA">
            <w:pPr>
              <w:widowControl w:val="0"/>
              <w:rPr>
                <w:rFonts w:ascii="Arial" w:hAnsi="Arial" w:cs="Arial"/>
                <w:b/>
              </w:rPr>
            </w:pPr>
            <w:r w:rsidRPr="00AA4884">
              <w:rPr>
                <w:rFonts w:ascii="Arial" w:hAnsi="Arial" w:cs="Arial"/>
                <w:b/>
              </w:rPr>
              <w:t>Yes</w:t>
            </w:r>
          </w:p>
        </w:tc>
        <w:tc>
          <w:tcPr>
            <w:tcW w:w="1760" w:type="dxa"/>
            <w:shd w:val="clear" w:color="auto" w:fill="EFEFEF"/>
          </w:tcPr>
          <w:p w14:paraId="1EE3871B" w14:textId="028DF0F5" w:rsidR="00CB1C34" w:rsidRPr="00AA4884" w:rsidRDefault="00CB1C34" w:rsidP="00593FEA">
            <w:pPr>
              <w:widowControl w:val="0"/>
              <w:rPr>
                <w:rFonts w:ascii="Arial" w:hAnsi="Arial" w:cs="Arial"/>
                <w:b/>
              </w:rPr>
            </w:pPr>
            <w:r w:rsidRPr="00AA4884">
              <w:rPr>
                <w:rFonts w:ascii="Arial" w:hAnsi="Arial" w:cs="Arial"/>
                <w:b/>
              </w:rPr>
              <w:t>No</w:t>
            </w:r>
          </w:p>
        </w:tc>
      </w:tr>
      <w:tr w:rsidR="00CB1C34" w:rsidRPr="00AA4884" w14:paraId="3E23E67F" w14:textId="5002877E" w:rsidTr="00AA4884">
        <w:trPr>
          <w:trHeight w:val="448"/>
        </w:trPr>
        <w:tc>
          <w:tcPr>
            <w:tcW w:w="6162" w:type="dxa"/>
            <w:shd w:val="clear" w:color="auto" w:fill="FFF2CC"/>
            <w:tcMar>
              <w:top w:w="100" w:type="dxa"/>
              <w:left w:w="100" w:type="dxa"/>
              <w:bottom w:w="100" w:type="dxa"/>
              <w:right w:w="100" w:type="dxa"/>
            </w:tcMar>
          </w:tcPr>
          <w:p w14:paraId="38B2CB09" w14:textId="2617FCF5" w:rsidR="00CB1C34" w:rsidRPr="00AA4884" w:rsidRDefault="00CB1C34" w:rsidP="00CB1C34">
            <w:pPr>
              <w:pStyle w:val="ListParagraph"/>
              <w:numPr>
                <w:ilvl w:val="0"/>
                <w:numId w:val="8"/>
              </w:numPr>
              <w:rPr>
                <w:rFonts w:ascii="Arial" w:hAnsi="Arial" w:cs="Arial"/>
              </w:rPr>
            </w:pPr>
            <w:r w:rsidRPr="00AA4884">
              <w:rPr>
                <w:rFonts w:ascii="Arial" w:hAnsi="Arial" w:cs="Arial"/>
                <w:iCs/>
                <w:color w:val="231F20"/>
              </w:rPr>
              <w:t>The information obtained is recorded by the investigator in such a manner that the identity of the human subjects cannot readily be ascertained, directly or through identifiers linked to the subjects</w:t>
            </w:r>
          </w:p>
        </w:tc>
        <w:tc>
          <w:tcPr>
            <w:tcW w:w="1473" w:type="dxa"/>
            <w:shd w:val="clear" w:color="auto" w:fill="FFF2CC"/>
          </w:tcPr>
          <w:p w14:paraId="0C6D4E5D" w14:textId="77777777" w:rsidR="00CB1C34" w:rsidRPr="00AA4884" w:rsidRDefault="00CB1C34" w:rsidP="00593FEA">
            <w:pPr>
              <w:rPr>
                <w:rFonts w:ascii="Arial" w:hAnsi="Arial" w:cs="Arial"/>
              </w:rPr>
            </w:pPr>
          </w:p>
        </w:tc>
        <w:tc>
          <w:tcPr>
            <w:tcW w:w="1760" w:type="dxa"/>
            <w:shd w:val="clear" w:color="auto" w:fill="FFF2CC"/>
          </w:tcPr>
          <w:p w14:paraId="0C14BCBA" w14:textId="77777777" w:rsidR="00CB1C34" w:rsidRPr="00AA4884" w:rsidRDefault="00CB1C34" w:rsidP="00593FEA">
            <w:pPr>
              <w:rPr>
                <w:rFonts w:ascii="Arial" w:hAnsi="Arial" w:cs="Arial"/>
              </w:rPr>
            </w:pPr>
          </w:p>
        </w:tc>
      </w:tr>
      <w:tr w:rsidR="00CB1C34" w:rsidRPr="00AA4884" w14:paraId="3E574328" w14:textId="29CD69E7" w:rsidTr="00AA4884">
        <w:trPr>
          <w:trHeight w:val="411"/>
        </w:trPr>
        <w:tc>
          <w:tcPr>
            <w:tcW w:w="6162" w:type="dxa"/>
            <w:shd w:val="clear" w:color="auto" w:fill="FFF2CC"/>
            <w:tcMar>
              <w:top w:w="100" w:type="dxa"/>
              <w:left w:w="100" w:type="dxa"/>
              <w:bottom w:w="100" w:type="dxa"/>
              <w:right w:w="100" w:type="dxa"/>
            </w:tcMar>
          </w:tcPr>
          <w:p w14:paraId="1780AC1B" w14:textId="4F0C6DF4" w:rsidR="00CB1C34" w:rsidRPr="00AA4884" w:rsidRDefault="00CB1C34" w:rsidP="00CB1C34">
            <w:pPr>
              <w:pStyle w:val="ListParagraph"/>
              <w:numPr>
                <w:ilvl w:val="0"/>
                <w:numId w:val="8"/>
              </w:numPr>
              <w:rPr>
                <w:rFonts w:ascii="Arial" w:hAnsi="Arial" w:cs="Arial"/>
              </w:rPr>
            </w:pPr>
            <w:r w:rsidRPr="00AA4884">
              <w:rPr>
                <w:rFonts w:ascii="Arial" w:hAnsi="Arial" w:cs="Arial"/>
                <w:iCs/>
                <w:color w:val="231F20"/>
              </w:rPr>
              <w:t>Any disclosure of the human subjects’ responses outside the research would not reasonably place the subjects at risk of criminal or civil liability or be damaging to the subjects’ financial standing, employability, educational advancement, or reputation</w:t>
            </w:r>
          </w:p>
        </w:tc>
        <w:tc>
          <w:tcPr>
            <w:tcW w:w="1473" w:type="dxa"/>
            <w:shd w:val="clear" w:color="auto" w:fill="FFF2CC"/>
          </w:tcPr>
          <w:p w14:paraId="582CA354" w14:textId="77777777" w:rsidR="00CB1C34" w:rsidRPr="00AA4884" w:rsidRDefault="00CB1C34" w:rsidP="00593FEA">
            <w:pPr>
              <w:rPr>
                <w:rFonts w:ascii="Arial" w:hAnsi="Arial" w:cs="Arial"/>
              </w:rPr>
            </w:pPr>
          </w:p>
        </w:tc>
        <w:tc>
          <w:tcPr>
            <w:tcW w:w="1760" w:type="dxa"/>
            <w:shd w:val="clear" w:color="auto" w:fill="FFF2CC"/>
          </w:tcPr>
          <w:p w14:paraId="4864932A" w14:textId="77777777" w:rsidR="00CB1C34" w:rsidRPr="00AA4884" w:rsidRDefault="00CB1C34" w:rsidP="00593FEA">
            <w:pPr>
              <w:rPr>
                <w:rFonts w:ascii="Arial" w:hAnsi="Arial" w:cs="Arial"/>
              </w:rPr>
            </w:pPr>
          </w:p>
        </w:tc>
      </w:tr>
      <w:tr w:rsidR="00CB1C34" w:rsidRPr="00AA4884" w14:paraId="214C9EC7" w14:textId="77777777" w:rsidTr="00AA4884">
        <w:trPr>
          <w:trHeight w:val="411"/>
        </w:trPr>
        <w:tc>
          <w:tcPr>
            <w:tcW w:w="6162" w:type="dxa"/>
            <w:shd w:val="clear" w:color="auto" w:fill="FFF2CC"/>
            <w:tcMar>
              <w:top w:w="100" w:type="dxa"/>
              <w:left w:w="100" w:type="dxa"/>
              <w:bottom w:w="100" w:type="dxa"/>
              <w:right w:w="100" w:type="dxa"/>
            </w:tcMar>
          </w:tcPr>
          <w:p w14:paraId="5D9CC4D4" w14:textId="18B1A87C" w:rsidR="00CB1C34" w:rsidRPr="00AA4884" w:rsidRDefault="00CB1C34" w:rsidP="00CB1C34">
            <w:pPr>
              <w:pStyle w:val="ListParagraph"/>
              <w:numPr>
                <w:ilvl w:val="0"/>
                <w:numId w:val="8"/>
              </w:numPr>
              <w:rPr>
                <w:rFonts w:ascii="Arial" w:hAnsi="Arial" w:cs="Arial"/>
              </w:rPr>
            </w:pPr>
            <w:r w:rsidRPr="00AA4884">
              <w:rPr>
                <w:rFonts w:ascii="Arial" w:hAnsi="Arial" w:cs="Arial"/>
                <w:iCs/>
                <w:color w:val="231F2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32 CFR 219.111(a)(7).</w:t>
            </w:r>
          </w:p>
        </w:tc>
        <w:tc>
          <w:tcPr>
            <w:tcW w:w="1473" w:type="dxa"/>
            <w:shd w:val="clear" w:color="auto" w:fill="FFF2CC"/>
          </w:tcPr>
          <w:p w14:paraId="6237D0D4" w14:textId="77777777" w:rsidR="00CB1C34" w:rsidRPr="00AA4884" w:rsidRDefault="00CB1C34" w:rsidP="00593FEA">
            <w:pPr>
              <w:rPr>
                <w:rFonts w:ascii="Arial" w:hAnsi="Arial" w:cs="Arial"/>
              </w:rPr>
            </w:pPr>
          </w:p>
        </w:tc>
        <w:tc>
          <w:tcPr>
            <w:tcW w:w="1760" w:type="dxa"/>
            <w:shd w:val="clear" w:color="auto" w:fill="FFF2CC"/>
          </w:tcPr>
          <w:p w14:paraId="125350BA" w14:textId="77777777" w:rsidR="00CB1C34" w:rsidRPr="00AA4884" w:rsidRDefault="00CB1C34" w:rsidP="00593FEA">
            <w:pPr>
              <w:rPr>
                <w:rFonts w:ascii="Arial" w:hAnsi="Arial" w:cs="Arial"/>
              </w:rPr>
            </w:pPr>
          </w:p>
        </w:tc>
      </w:tr>
    </w:tbl>
    <w:bookmarkEnd w:id="0"/>
    <w:p w14:paraId="7C50E536" w14:textId="77777777" w:rsidR="00CB1C34" w:rsidRPr="00AA4884" w:rsidRDefault="00CB1C34" w:rsidP="00CB1C34">
      <w:pPr>
        <w:pStyle w:val="BodyText"/>
        <w:kinsoku w:val="0"/>
        <w:overflowPunct w:val="0"/>
        <w:spacing w:before="59"/>
        <w:rPr>
          <w:rFonts w:ascii="Arial" w:hAnsi="Arial" w:cs="Arial"/>
          <w:b/>
          <w:bCs/>
          <w:iCs/>
          <w:color w:val="231F20"/>
        </w:rPr>
      </w:pPr>
      <w:r w:rsidRPr="00AA4884">
        <w:rPr>
          <w:rFonts w:ascii="Arial" w:hAnsi="Arial" w:cs="Arial"/>
          <w:b/>
          <w:bCs/>
          <w:iCs/>
          <w:color w:val="231F20"/>
        </w:rPr>
        <w:t>NOTE: A “yes” to a. or b. means that a limited IRB review is NOT required. A “yes” to “c”, however, means that a limited IRB review IS required.</w:t>
      </w:r>
    </w:p>
    <w:p w14:paraId="46764E5D" w14:textId="77777777" w:rsidR="00CB1C34" w:rsidRPr="00AA4884" w:rsidRDefault="00CB1C34" w:rsidP="00CB1C34">
      <w:pPr>
        <w:pStyle w:val="BodyText"/>
        <w:kinsoku w:val="0"/>
        <w:overflowPunct w:val="0"/>
        <w:spacing w:before="59"/>
        <w:rPr>
          <w:rFonts w:ascii="Arial" w:hAnsi="Arial" w:cs="Arial"/>
          <w:color w:val="1E285C"/>
        </w:rPr>
      </w:pPr>
      <w:r w:rsidRPr="00AA4884">
        <w:rPr>
          <w:rFonts w:ascii="Arial" w:hAnsi="Arial" w:cs="Arial"/>
          <w:b/>
          <w:bCs/>
          <w:iCs/>
          <w:color w:val="231F20"/>
        </w:rPr>
        <w:lastRenderedPageBreak/>
        <w:t xml:space="preserve">Reviewer Comments: </w:t>
      </w:r>
    </w:p>
    <w:p w14:paraId="1C6353DD" w14:textId="77777777" w:rsidR="00CB1C34" w:rsidRPr="00AA4884" w:rsidRDefault="00CB1C34" w:rsidP="00CB1C34">
      <w:pPr>
        <w:pStyle w:val="BodyText"/>
        <w:kinsoku w:val="0"/>
        <w:overflowPunct w:val="0"/>
        <w:spacing w:before="59"/>
        <w:rPr>
          <w:rFonts w:ascii="Arial" w:hAnsi="Arial" w:cs="Arial"/>
          <w:b/>
          <w:bCs/>
          <w:iCs/>
          <w:color w:val="231F20"/>
        </w:rPr>
      </w:pPr>
    </w:p>
    <w:p w14:paraId="20DAA64B" w14:textId="6DC0E6CE" w:rsidR="00CB1C34" w:rsidRPr="00AA4884" w:rsidRDefault="00CB1C34" w:rsidP="00CB1C34">
      <w:pPr>
        <w:pStyle w:val="BodyText"/>
        <w:kinsoku w:val="0"/>
        <w:overflowPunct w:val="0"/>
        <w:spacing w:before="59"/>
        <w:rPr>
          <w:rFonts w:ascii="Arial" w:hAnsi="Arial" w:cs="Arial"/>
          <w:b/>
          <w:bCs/>
          <w:iCs/>
          <w:color w:val="231F20"/>
        </w:rPr>
      </w:pPr>
      <w:r w:rsidRPr="00AA4884">
        <w:rPr>
          <w:rFonts w:ascii="Arial" w:hAnsi="Arial" w:cs="Arial"/>
          <w:b/>
          <w:bCs/>
          <w:iCs/>
          <w:color w:val="231F20"/>
        </w:rPr>
        <w:t>Eligibility for Exempt Category 3</w:t>
      </w:r>
    </w:p>
    <w:p w14:paraId="17555B99" w14:textId="77777777" w:rsidR="00CB1C34" w:rsidRPr="00AA4884" w:rsidRDefault="00CB1C34" w:rsidP="00CB1C34">
      <w:pPr>
        <w:pStyle w:val="BodyText"/>
        <w:kinsoku w:val="0"/>
        <w:overflowPunct w:val="0"/>
        <w:spacing w:before="56" w:line="254" w:lineRule="auto"/>
        <w:ind w:right="90"/>
        <w:rPr>
          <w:rFonts w:ascii="Arial" w:hAnsi="Arial" w:cs="Arial"/>
          <w:color w:val="231F20"/>
        </w:rPr>
      </w:pPr>
      <w:r w:rsidRPr="00AA4884">
        <w:rPr>
          <w:rFonts w:ascii="Arial" w:hAnsi="Arial" w:cs="Arial"/>
          <w:color w:val="231F20"/>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tbl>
      <w:tblPr>
        <w:tblW w:w="91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20"/>
        <w:gridCol w:w="1440"/>
        <w:gridCol w:w="1720"/>
      </w:tblGrid>
      <w:tr w:rsidR="00AA4884" w:rsidRPr="00AA4884" w14:paraId="5997525C" w14:textId="77777777" w:rsidTr="00F4426C">
        <w:tc>
          <w:tcPr>
            <w:tcW w:w="6020" w:type="dxa"/>
            <w:shd w:val="clear" w:color="auto" w:fill="EFEFEF"/>
            <w:tcMar>
              <w:top w:w="100" w:type="dxa"/>
              <w:left w:w="100" w:type="dxa"/>
              <w:bottom w:w="100" w:type="dxa"/>
              <w:right w:w="100" w:type="dxa"/>
            </w:tcMar>
          </w:tcPr>
          <w:p w14:paraId="4D1A07BE" w14:textId="77777777" w:rsidR="00AA4884" w:rsidRPr="00AA4884" w:rsidRDefault="00AA4884" w:rsidP="00F4426C">
            <w:pPr>
              <w:widowControl w:val="0"/>
              <w:rPr>
                <w:rFonts w:ascii="Arial" w:hAnsi="Arial" w:cs="Arial"/>
                <w:b/>
              </w:rPr>
            </w:pPr>
            <w:r w:rsidRPr="00AA4884">
              <w:rPr>
                <w:rFonts w:ascii="Arial" w:hAnsi="Arial" w:cs="Arial"/>
                <w:b/>
              </w:rPr>
              <w:t>Criteria</w:t>
            </w:r>
          </w:p>
        </w:tc>
        <w:tc>
          <w:tcPr>
            <w:tcW w:w="1440" w:type="dxa"/>
            <w:shd w:val="clear" w:color="auto" w:fill="EFEFEF"/>
          </w:tcPr>
          <w:p w14:paraId="7AA7DDEF" w14:textId="77777777" w:rsidR="00AA4884" w:rsidRPr="00AA4884" w:rsidRDefault="00AA4884" w:rsidP="00F4426C">
            <w:pPr>
              <w:widowControl w:val="0"/>
              <w:rPr>
                <w:rFonts w:ascii="Arial" w:hAnsi="Arial" w:cs="Arial"/>
                <w:b/>
              </w:rPr>
            </w:pPr>
            <w:r w:rsidRPr="00AA4884">
              <w:rPr>
                <w:rFonts w:ascii="Arial" w:hAnsi="Arial" w:cs="Arial"/>
                <w:b/>
              </w:rPr>
              <w:t>Yes</w:t>
            </w:r>
          </w:p>
        </w:tc>
        <w:tc>
          <w:tcPr>
            <w:tcW w:w="1720" w:type="dxa"/>
            <w:shd w:val="clear" w:color="auto" w:fill="EFEFEF"/>
          </w:tcPr>
          <w:p w14:paraId="14FA18D5" w14:textId="77777777" w:rsidR="00AA4884" w:rsidRPr="00AA4884" w:rsidRDefault="00AA4884" w:rsidP="00F4426C">
            <w:pPr>
              <w:widowControl w:val="0"/>
              <w:rPr>
                <w:rFonts w:ascii="Arial" w:hAnsi="Arial" w:cs="Arial"/>
                <w:b/>
              </w:rPr>
            </w:pPr>
            <w:r w:rsidRPr="00AA4884">
              <w:rPr>
                <w:rFonts w:ascii="Arial" w:hAnsi="Arial" w:cs="Arial"/>
                <w:b/>
              </w:rPr>
              <w:t>No</w:t>
            </w:r>
          </w:p>
        </w:tc>
      </w:tr>
      <w:tr w:rsidR="00AA4884" w:rsidRPr="00AA4884" w14:paraId="6C01DA59" w14:textId="77777777" w:rsidTr="00F4426C">
        <w:trPr>
          <w:trHeight w:val="537"/>
        </w:trPr>
        <w:tc>
          <w:tcPr>
            <w:tcW w:w="6020" w:type="dxa"/>
            <w:shd w:val="clear" w:color="auto" w:fill="FFF2CC"/>
            <w:tcMar>
              <w:top w:w="100" w:type="dxa"/>
              <w:left w:w="100" w:type="dxa"/>
              <w:bottom w:w="100" w:type="dxa"/>
              <w:right w:w="100" w:type="dxa"/>
            </w:tcMar>
          </w:tcPr>
          <w:p w14:paraId="1D3F68FE" w14:textId="15C73378" w:rsidR="00AA4884" w:rsidRPr="00AA4884" w:rsidRDefault="00AA4884" w:rsidP="00AA4884">
            <w:pPr>
              <w:pStyle w:val="ListParagraph"/>
              <w:numPr>
                <w:ilvl w:val="0"/>
                <w:numId w:val="10"/>
              </w:numPr>
              <w:rPr>
                <w:rFonts w:ascii="Arial" w:hAnsi="Arial" w:cs="Arial"/>
              </w:rPr>
            </w:pPr>
            <w:r w:rsidRPr="00AA4884">
              <w:rPr>
                <w:rFonts w:ascii="Arial" w:hAnsi="Arial" w:cs="Arial"/>
                <w:iCs/>
                <w:color w:val="231F20"/>
              </w:rPr>
              <w:t>The information obtained is recorded by the investigator in such a manner that the identity of the human subjects cannot readily be ascertained, directly or through identifiers linked to the subjects</w:t>
            </w:r>
          </w:p>
        </w:tc>
        <w:tc>
          <w:tcPr>
            <w:tcW w:w="1440" w:type="dxa"/>
            <w:shd w:val="clear" w:color="auto" w:fill="FFF2CC"/>
          </w:tcPr>
          <w:p w14:paraId="24AB9C63" w14:textId="77777777" w:rsidR="00AA4884" w:rsidRPr="00AA4884" w:rsidRDefault="00AA4884" w:rsidP="00F4426C">
            <w:pPr>
              <w:rPr>
                <w:rFonts w:ascii="Arial" w:hAnsi="Arial" w:cs="Arial"/>
              </w:rPr>
            </w:pPr>
          </w:p>
        </w:tc>
        <w:tc>
          <w:tcPr>
            <w:tcW w:w="1720" w:type="dxa"/>
            <w:shd w:val="clear" w:color="auto" w:fill="FFF2CC"/>
          </w:tcPr>
          <w:p w14:paraId="669B39B6" w14:textId="77777777" w:rsidR="00AA4884" w:rsidRPr="00AA4884" w:rsidRDefault="00AA4884" w:rsidP="00F4426C">
            <w:pPr>
              <w:rPr>
                <w:rFonts w:ascii="Arial" w:hAnsi="Arial" w:cs="Arial"/>
              </w:rPr>
            </w:pPr>
          </w:p>
        </w:tc>
      </w:tr>
      <w:tr w:rsidR="00AA4884" w:rsidRPr="00AA4884" w14:paraId="556B2411" w14:textId="77777777" w:rsidTr="00F4426C">
        <w:trPr>
          <w:trHeight w:val="492"/>
        </w:trPr>
        <w:tc>
          <w:tcPr>
            <w:tcW w:w="6020" w:type="dxa"/>
            <w:shd w:val="clear" w:color="auto" w:fill="FFF2CC"/>
            <w:tcMar>
              <w:top w:w="100" w:type="dxa"/>
              <w:left w:w="100" w:type="dxa"/>
              <w:bottom w:w="100" w:type="dxa"/>
              <w:right w:w="100" w:type="dxa"/>
            </w:tcMar>
          </w:tcPr>
          <w:p w14:paraId="1E22835E" w14:textId="517CC7C7" w:rsidR="00AA4884" w:rsidRPr="00AA4884" w:rsidRDefault="00AA4884" w:rsidP="00AA4884">
            <w:pPr>
              <w:pStyle w:val="ListParagraph"/>
              <w:numPr>
                <w:ilvl w:val="0"/>
                <w:numId w:val="10"/>
              </w:numPr>
              <w:rPr>
                <w:rFonts w:ascii="Arial" w:hAnsi="Arial" w:cs="Arial"/>
              </w:rPr>
            </w:pPr>
            <w:r w:rsidRPr="00AA4884">
              <w:rPr>
                <w:rFonts w:ascii="Arial" w:hAnsi="Arial" w:cs="Arial"/>
                <w:iCs/>
                <w:color w:val="231F20"/>
              </w:rPr>
              <w:t>Any disclosure of the human subjects’ responses outside the research would not reasonably place the subjects at risk of criminal or civil liability or be damaging to the subjects’ financial standing, employability, educational advancement, or reputation</w:t>
            </w:r>
          </w:p>
        </w:tc>
        <w:tc>
          <w:tcPr>
            <w:tcW w:w="1440" w:type="dxa"/>
            <w:shd w:val="clear" w:color="auto" w:fill="FFF2CC"/>
          </w:tcPr>
          <w:p w14:paraId="2D166A84" w14:textId="77777777" w:rsidR="00AA4884" w:rsidRPr="00AA4884" w:rsidRDefault="00AA4884" w:rsidP="00F4426C">
            <w:pPr>
              <w:rPr>
                <w:rFonts w:ascii="Arial" w:hAnsi="Arial" w:cs="Arial"/>
              </w:rPr>
            </w:pPr>
          </w:p>
        </w:tc>
        <w:tc>
          <w:tcPr>
            <w:tcW w:w="1720" w:type="dxa"/>
            <w:shd w:val="clear" w:color="auto" w:fill="FFF2CC"/>
          </w:tcPr>
          <w:p w14:paraId="50011ABA" w14:textId="77777777" w:rsidR="00AA4884" w:rsidRPr="00AA4884" w:rsidRDefault="00AA4884" w:rsidP="00F4426C">
            <w:pPr>
              <w:rPr>
                <w:rFonts w:ascii="Arial" w:hAnsi="Arial" w:cs="Arial"/>
              </w:rPr>
            </w:pPr>
          </w:p>
        </w:tc>
      </w:tr>
      <w:tr w:rsidR="00AA4884" w:rsidRPr="00AA4884" w14:paraId="6B578C42" w14:textId="77777777" w:rsidTr="00F4426C">
        <w:trPr>
          <w:trHeight w:val="492"/>
        </w:trPr>
        <w:tc>
          <w:tcPr>
            <w:tcW w:w="6020" w:type="dxa"/>
            <w:shd w:val="clear" w:color="auto" w:fill="FFF2CC"/>
            <w:tcMar>
              <w:top w:w="100" w:type="dxa"/>
              <w:left w:w="100" w:type="dxa"/>
              <w:bottom w:w="100" w:type="dxa"/>
              <w:right w:w="100" w:type="dxa"/>
            </w:tcMar>
          </w:tcPr>
          <w:p w14:paraId="0A53797E" w14:textId="743368AD" w:rsidR="00AA4884" w:rsidRPr="00AA4884" w:rsidRDefault="00AA4884" w:rsidP="00AA4884">
            <w:pPr>
              <w:pStyle w:val="ListParagraph"/>
              <w:numPr>
                <w:ilvl w:val="0"/>
                <w:numId w:val="10"/>
              </w:numPr>
              <w:rPr>
                <w:rFonts w:ascii="Arial" w:hAnsi="Arial" w:cs="Arial"/>
              </w:rPr>
            </w:pPr>
            <w:r w:rsidRPr="00AA4884">
              <w:rPr>
                <w:rFonts w:ascii="Arial" w:hAnsi="Arial" w:cs="Arial"/>
                <w:iCs/>
                <w:color w:val="231F2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32 CFR 219.111(a)(7)</w:t>
            </w:r>
          </w:p>
        </w:tc>
        <w:tc>
          <w:tcPr>
            <w:tcW w:w="1440" w:type="dxa"/>
            <w:shd w:val="clear" w:color="auto" w:fill="FFF2CC"/>
          </w:tcPr>
          <w:p w14:paraId="3F689E08" w14:textId="77777777" w:rsidR="00AA4884" w:rsidRPr="00AA4884" w:rsidRDefault="00AA4884" w:rsidP="00F4426C">
            <w:pPr>
              <w:rPr>
                <w:rFonts w:ascii="Arial" w:hAnsi="Arial" w:cs="Arial"/>
              </w:rPr>
            </w:pPr>
          </w:p>
        </w:tc>
        <w:tc>
          <w:tcPr>
            <w:tcW w:w="1720" w:type="dxa"/>
            <w:shd w:val="clear" w:color="auto" w:fill="FFF2CC"/>
          </w:tcPr>
          <w:p w14:paraId="2B8368C8" w14:textId="77777777" w:rsidR="00AA4884" w:rsidRPr="00AA4884" w:rsidRDefault="00AA4884" w:rsidP="00F4426C">
            <w:pPr>
              <w:rPr>
                <w:rFonts w:ascii="Arial" w:hAnsi="Arial" w:cs="Arial"/>
              </w:rPr>
            </w:pPr>
          </w:p>
        </w:tc>
      </w:tr>
      <w:tr w:rsidR="00AA4884" w:rsidRPr="00AA4884" w14:paraId="654E47E6" w14:textId="77777777" w:rsidTr="00F4426C">
        <w:trPr>
          <w:trHeight w:val="492"/>
        </w:trPr>
        <w:tc>
          <w:tcPr>
            <w:tcW w:w="6020" w:type="dxa"/>
            <w:shd w:val="clear" w:color="auto" w:fill="FFF2CC"/>
            <w:tcMar>
              <w:top w:w="100" w:type="dxa"/>
              <w:left w:w="100" w:type="dxa"/>
              <w:bottom w:w="100" w:type="dxa"/>
              <w:right w:w="100" w:type="dxa"/>
            </w:tcMar>
          </w:tcPr>
          <w:p w14:paraId="0AF7803C" w14:textId="1AC36B70" w:rsidR="00AA4884" w:rsidRPr="00AA4884" w:rsidRDefault="00AA4884" w:rsidP="00AA4884">
            <w:pPr>
              <w:pStyle w:val="ListParagraph"/>
              <w:numPr>
                <w:ilvl w:val="0"/>
                <w:numId w:val="10"/>
              </w:numPr>
              <w:rPr>
                <w:rFonts w:ascii="Arial" w:hAnsi="Arial" w:cs="Arial"/>
                <w:iCs/>
                <w:color w:val="231F20"/>
              </w:rPr>
            </w:pPr>
            <w:r w:rsidRPr="00AA4884">
              <w:rPr>
                <w:rFonts w:ascii="Arial" w:hAnsi="Arial" w:cs="Arial"/>
                <w:iCs/>
                <w:color w:val="231F20"/>
              </w:rPr>
              <w:t xml:space="preserve">The proposed benign behavioral interventions are </w:t>
            </w:r>
            <w:proofErr w:type="gramStart"/>
            <w:r w:rsidRPr="00AA4884">
              <w:rPr>
                <w:rFonts w:ascii="Arial" w:hAnsi="Arial" w:cs="Arial"/>
                <w:iCs/>
                <w:color w:val="231F20"/>
              </w:rPr>
              <w:t>brief in duration</w:t>
            </w:r>
            <w:proofErr w:type="gramEnd"/>
            <w:r w:rsidRPr="00AA4884">
              <w:rPr>
                <w:rFonts w:ascii="Arial" w:hAnsi="Arial" w:cs="Arial"/>
                <w:iCs/>
                <w:color w:val="231F20"/>
              </w:rPr>
              <w:t xml:space="preserve">, harmless, painless, not physically invasive, not likely to have a significant adverse lasting impact on the subjects, and the investigator has no reason to </w:t>
            </w:r>
            <w:r w:rsidRPr="00AA4884">
              <w:rPr>
                <w:rFonts w:ascii="Arial" w:hAnsi="Arial" w:cs="Arial"/>
                <w:iCs/>
                <w:color w:val="231F20"/>
              </w:rPr>
              <w:lastRenderedPageBreak/>
              <w:t>think the subjects will find the interventions offensive or embarrassing</w:t>
            </w:r>
          </w:p>
        </w:tc>
        <w:tc>
          <w:tcPr>
            <w:tcW w:w="1440" w:type="dxa"/>
            <w:shd w:val="clear" w:color="auto" w:fill="FFF2CC"/>
          </w:tcPr>
          <w:p w14:paraId="53FF38C4" w14:textId="77777777" w:rsidR="00AA4884" w:rsidRPr="00AA4884" w:rsidRDefault="00AA4884" w:rsidP="00F4426C">
            <w:pPr>
              <w:rPr>
                <w:rFonts w:ascii="Arial" w:hAnsi="Arial" w:cs="Arial"/>
              </w:rPr>
            </w:pPr>
          </w:p>
        </w:tc>
        <w:tc>
          <w:tcPr>
            <w:tcW w:w="1720" w:type="dxa"/>
            <w:shd w:val="clear" w:color="auto" w:fill="FFF2CC"/>
          </w:tcPr>
          <w:p w14:paraId="01318F2C" w14:textId="77777777" w:rsidR="00AA4884" w:rsidRPr="00AA4884" w:rsidRDefault="00AA4884" w:rsidP="00F4426C">
            <w:pPr>
              <w:rPr>
                <w:rFonts w:ascii="Arial" w:hAnsi="Arial" w:cs="Arial"/>
              </w:rPr>
            </w:pPr>
          </w:p>
        </w:tc>
      </w:tr>
      <w:tr w:rsidR="00AA4884" w:rsidRPr="00AA4884" w14:paraId="13405050" w14:textId="77777777" w:rsidTr="00F4426C">
        <w:trPr>
          <w:trHeight w:val="492"/>
        </w:trPr>
        <w:tc>
          <w:tcPr>
            <w:tcW w:w="6020" w:type="dxa"/>
            <w:shd w:val="clear" w:color="auto" w:fill="FFF2CC"/>
            <w:tcMar>
              <w:top w:w="100" w:type="dxa"/>
              <w:left w:w="100" w:type="dxa"/>
              <w:bottom w:w="100" w:type="dxa"/>
              <w:right w:w="100" w:type="dxa"/>
            </w:tcMar>
          </w:tcPr>
          <w:p w14:paraId="435FAE11" w14:textId="6B420B78" w:rsidR="00AA4884" w:rsidRPr="00AA4884" w:rsidRDefault="00AA4884" w:rsidP="00AA4884">
            <w:pPr>
              <w:pStyle w:val="ListParagraph"/>
              <w:numPr>
                <w:ilvl w:val="0"/>
                <w:numId w:val="10"/>
              </w:numPr>
              <w:rPr>
                <w:rFonts w:ascii="Arial" w:hAnsi="Arial" w:cs="Arial"/>
                <w:iCs/>
                <w:color w:val="231F20"/>
              </w:rPr>
            </w:pPr>
            <w:r w:rsidRPr="00AA4884">
              <w:rPr>
                <w:rFonts w:ascii="Arial" w:hAnsi="Arial" w:cs="Arial"/>
                <w:iCs/>
                <w:color w:val="231F20"/>
              </w:rPr>
              <w:t>Does the intervention involve deception?</w:t>
            </w:r>
          </w:p>
        </w:tc>
        <w:tc>
          <w:tcPr>
            <w:tcW w:w="1440" w:type="dxa"/>
            <w:shd w:val="clear" w:color="auto" w:fill="FFF2CC"/>
          </w:tcPr>
          <w:p w14:paraId="48A59A71" w14:textId="77777777" w:rsidR="00AA4884" w:rsidRPr="00AA4884" w:rsidRDefault="00AA4884" w:rsidP="00F4426C">
            <w:pPr>
              <w:rPr>
                <w:rFonts w:ascii="Arial" w:hAnsi="Arial" w:cs="Arial"/>
              </w:rPr>
            </w:pPr>
          </w:p>
        </w:tc>
        <w:tc>
          <w:tcPr>
            <w:tcW w:w="1720" w:type="dxa"/>
            <w:shd w:val="clear" w:color="auto" w:fill="FFF2CC"/>
          </w:tcPr>
          <w:p w14:paraId="1422B9D8" w14:textId="77777777" w:rsidR="00AA4884" w:rsidRPr="00AA4884" w:rsidRDefault="00AA4884" w:rsidP="00F4426C">
            <w:pPr>
              <w:rPr>
                <w:rFonts w:ascii="Arial" w:hAnsi="Arial" w:cs="Arial"/>
              </w:rPr>
            </w:pPr>
          </w:p>
        </w:tc>
      </w:tr>
      <w:tr w:rsidR="00AA4884" w:rsidRPr="00AA4884" w14:paraId="2676D015" w14:textId="77777777" w:rsidTr="00F4426C">
        <w:trPr>
          <w:trHeight w:val="492"/>
        </w:trPr>
        <w:tc>
          <w:tcPr>
            <w:tcW w:w="6020" w:type="dxa"/>
            <w:shd w:val="clear" w:color="auto" w:fill="FFF2CC"/>
            <w:tcMar>
              <w:top w:w="100" w:type="dxa"/>
              <w:left w:w="100" w:type="dxa"/>
              <w:bottom w:w="100" w:type="dxa"/>
              <w:right w:w="100" w:type="dxa"/>
            </w:tcMar>
          </w:tcPr>
          <w:p w14:paraId="155610CD" w14:textId="34926115" w:rsidR="00AA4884" w:rsidRPr="00AA4884" w:rsidRDefault="00AA4884" w:rsidP="00AA4884">
            <w:pPr>
              <w:pStyle w:val="ListParagraph"/>
              <w:numPr>
                <w:ilvl w:val="0"/>
                <w:numId w:val="10"/>
              </w:numPr>
              <w:rPr>
                <w:rFonts w:ascii="Arial" w:hAnsi="Arial" w:cs="Arial"/>
                <w:iCs/>
                <w:color w:val="231F20"/>
              </w:rPr>
            </w:pPr>
            <w:r w:rsidRPr="00AA4884">
              <w:rPr>
                <w:rFonts w:ascii="Arial" w:hAnsi="Arial" w:cs="Arial"/>
                <w:iCs/>
                <w:color w:val="231F20"/>
              </w:rPr>
              <w:t>If there is no deception, write in “N/A”. If “yes”, is there a provision for the subject to authorize the deception through a prospective agreement to participate in research in circumstances in which the subject is informed that he or she will be unaware of or misled regarding the nature or purposes of the research?</w:t>
            </w:r>
          </w:p>
        </w:tc>
        <w:tc>
          <w:tcPr>
            <w:tcW w:w="1440" w:type="dxa"/>
            <w:shd w:val="clear" w:color="auto" w:fill="FFF2CC"/>
          </w:tcPr>
          <w:p w14:paraId="21CF4D7C" w14:textId="77777777" w:rsidR="00AA4884" w:rsidRPr="00AA4884" w:rsidRDefault="00AA4884" w:rsidP="00F4426C">
            <w:pPr>
              <w:rPr>
                <w:rFonts w:ascii="Arial" w:hAnsi="Arial" w:cs="Arial"/>
              </w:rPr>
            </w:pPr>
          </w:p>
        </w:tc>
        <w:tc>
          <w:tcPr>
            <w:tcW w:w="1720" w:type="dxa"/>
            <w:shd w:val="clear" w:color="auto" w:fill="FFF2CC"/>
          </w:tcPr>
          <w:p w14:paraId="28DC4CB0" w14:textId="77777777" w:rsidR="00AA4884" w:rsidRPr="00AA4884" w:rsidRDefault="00AA4884" w:rsidP="00F4426C">
            <w:pPr>
              <w:rPr>
                <w:rFonts w:ascii="Arial" w:hAnsi="Arial" w:cs="Arial"/>
              </w:rPr>
            </w:pPr>
          </w:p>
        </w:tc>
      </w:tr>
    </w:tbl>
    <w:p w14:paraId="045CC423" w14:textId="287B8CDF" w:rsidR="00AA4884" w:rsidRPr="00AA4884" w:rsidRDefault="00AA4884" w:rsidP="00AA4884">
      <w:pPr>
        <w:rPr>
          <w:rFonts w:ascii="Arial" w:hAnsi="Arial" w:cs="Arial"/>
          <w:b/>
          <w:bCs/>
          <w:iCs/>
        </w:rPr>
      </w:pPr>
      <w:r w:rsidRPr="00AA4884">
        <w:rPr>
          <w:rFonts w:ascii="Arial" w:hAnsi="Arial" w:cs="Arial"/>
          <w:b/>
          <w:bCs/>
          <w:iCs/>
        </w:rPr>
        <w:t>NOTE: A “yes” to a, b, or d, means that a limited IRB review is NOT required. A “yes” to “c” and/or “e”, however, means that a limited IRB review IS required.</w:t>
      </w:r>
    </w:p>
    <w:p w14:paraId="75DD36BF" w14:textId="77777777" w:rsidR="00AA4884" w:rsidRPr="00AA4884" w:rsidRDefault="00AA4884" w:rsidP="00AA4884">
      <w:pPr>
        <w:rPr>
          <w:rFonts w:ascii="Arial" w:hAnsi="Arial" w:cs="Arial"/>
        </w:rPr>
      </w:pPr>
    </w:p>
    <w:p w14:paraId="428A3AE4" w14:textId="77777777" w:rsidR="00AA4884" w:rsidRPr="00AA4884" w:rsidRDefault="00AA4884" w:rsidP="00AA4884">
      <w:pPr>
        <w:pStyle w:val="BodyText"/>
        <w:kinsoku w:val="0"/>
        <w:overflowPunct w:val="0"/>
        <w:spacing w:before="59"/>
        <w:rPr>
          <w:rFonts w:ascii="Arial" w:hAnsi="Arial" w:cs="Arial"/>
          <w:b/>
          <w:bCs/>
          <w:iCs/>
          <w:color w:val="231F20"/>
        </w:rPr>
      </w:pPr>
      <w:r w:rsidRPr="00AA4884">
        <w:rPr>
          <w:rFonts w:ascii="Arial" w:hAnsi="Arial" w:cs="Arial"/>
          <w:b/>
          <w:bCs/>
          <w:iCs/>
          <w:color w:val="231F20"/>
        </w:rPr>
        <w:t xml:space="preserve">Reviewer Comments: </w:t>
      </w:r>
    </w:p>
    <w:p w14:paraId="4D065EE5" w14:textId="77777777" w:rsidR="00AA4884" w:rsidRPr="00AA4884" w:rsidRDefault="00AA4884" w:rsidP="00AA4884">
      <w:pPr>
        <w:pStyle w:val="BodyText"/>
        <w:kinsoku w:val="0"/>
        <w:overflowPunct w:val="0"/>
        <w:spacing w:before="59"/>
        <w:rPr>
          <w:rFonts w:ascii="Arial" w:hAnsi="Arial" w:cs="Arial"/>
          <w:b/>
          <w:bCs/>
          <w:iCs/>
          <w:color w:val="231F20"/>
        </w:rPr>
      </w:pPr>
    </w:p>
    <w:p w14:paraId="08734C8A" w14:textId="77777777" w:rsidR="00AA4884" w:rsidRPr="00AA4884" w:rsidRDefault="00AA4884" w:rsidP="00AA4884">
      <w:pPr>
        <w:pStyle w:val="BodyText"/>
        <w:kinsoku w:val="0"/>
        <w:overflowPunct w:val="0"/>
        <w:spacing w:before="59"/>
        <w:rPr>
          <w:rFonts w:ascii="Arial" w:hAnsi="Arial" w:cs="Arial"/>
          <w:b/>
          <w:bCs/>
          <w:iCs/>
          <w:color w:val="231F20"/>
        </w:rPr>
      </w:pPr>
      <w:r w:rsidRPr="00AA4884">
        <w:rPr>
          <w:rFonts w:ascii="Arial" w:hAnsi="Arial" w:cs="Arial"/>
          <w:b/>
          <w:bCs/>
          <w:iCs/>
          <w:color w:val="231F20"/>
        </w:rPr>
        <w:t>Annual Progress and Closeout Reporting</w:t>
      </w:r>
    </w:p>
    <w:p w14:paraId="5FA942B7" w14:textId="1B0BD0C4" w:rsidR="00AA4884" w:rsidRPr="00AA4884" w:rsidRDefault="00AA4884" w:rsidP="00AA4884">
      <w:pPr>
        <w:pStyle w:val="BodyText"/>
        <w:kinsoku w:val="0"/>
        <w:overflowPunct w:val="0"/>
        <w:spacing w:before="59"/>
        <w:rPr>
          <w:rFonts w:ascii="Arial" w:hAnsi="Arial" w:cs="Arial"/>
          <w:bCs/>
          <w:iCs/>
          <w:color w:val="231F20"/>
        </w:rPr>
      </w:pPr>
      <w:r w:rsidRPr="00AA4884">
        <w:rPr>
          <w:rFonts w:ascii="Arial" w:hAnsi="Arial" w:cs="Arial"/>
          <w:bCs/>
          <w:iCs/>
          <w:color w:val="231F20"/>
        </w:rPr>
        <w:t>Continuing reviews are not required for protocols reviewed under the limited IRB review procedures; however, annual progress reports and closeout reports are required.</w:t>
      </w:r>
    </w:p>
    <w:p w14:paraId="7B714496" w14:textId="77777777" w:rsidR="00AA4884" w:rsidRPr="00AA4884" w:rsidRDefault="00AA4884" w:rsidP="00AA4884">
      <w:pPr>
        <w:rPr>
          <w:rFonts w:ascii="Arial" w:hAnsi="Arial" w:cs="Arial"/>
        </w:rPr>
      </w:pPr>
    </w:p>
    <w:p w14:paraId="03182B1A" w14:textId="77777777" w:rsidR="00AA4884" w:rsidRPr="00AA4884" w:rsidRDefault="00AA4884" w:rsidP="00AA4884">
      <w:pPr>
        <w:rPr>
          <w:rFonts w:ascii="Arial" w:hAnsi="Arial" w:cs="Arial"/>
          <w:b/>
        </w:rPr>
      </w:pPr>
      <w:r w:rsidRPr="00AA4884">
        <w:rPr>
          <w:rFonts w:ascii="Arial" w:hAnsi="Arial" w:cs="Arial"/>
          <w:b/>
        </w:rPr>
        <w:t>Exempt Category Inserts for Approval Memorandums</w:t>
      </w:r>
    </w:p>
    <w:p w14:paraId="513A48A1" w14:textId="77777777" w:rsidR="00AA4884" w:rsidRPr="00AA4884" w:rsidRDefault="00AA4884" w:rsidP="00AA4884">
      <w:pPr>
        <w:rPr>
          <w:rFonts w:ascii="Arial" w:hAnsi="Arial" w:cs="Arial"/>
        </w:rPr>
      </w:pPr>
    </w:p>
    <w:p w14:paraId="44012D92" w14:textId="77777777" w:rsidR="00AA4884" w:rsidRPr="00AA4884" w:rsidRDefault="00AA4884" w:rsidP="00AA4884">
      <w:pPr>
        <w:rPr>
          <w:rFonts w:ascii="Arial" w:hAnsi="Arial" w:cs="Arial"/>
        </w:rPr>
      </w:pPr>
      <w:r w:rsidRPr="00AA4884">
        <w:rPr>
          <w:rFonts w:ascii="Arial" w:hAnsi="Arial" w:cs="Arial"/>
        </w:rPr>
        <w:t xml:space="preserve">Category 2/3:  </w:t>
      </w:r>
    </w:p>
    <w:p w14:paraId="7C3E05CA" w14:textId="77777777" w:rsidR="00AA4884" w:rsidRPr="00AA4884" w:rsidRDefault="00AA4884" w:rsidP="00AA4884">
      <w:pPr>
        <w:rPr>
          <w:rFonts w:ascii="Arial" w:hAnsi="Arial" w:cs="Arial"/>
        </w:rPr>
      </w:pPr>
    </w:p>
    <w:p w14:paraId="727108B8" w14:textId="77777777" w:rsidR="00AA4884" w:rsidRPr="00AA4884" w:rsidRDefault="00AA4884" w:rsidP="00AA4884">
      <w:pPr>
        <w:rPr>
          <w:rFonts w:ascii="Arial" w:hAnsi="Arial" w:cs="Arial"/>
          <w:b/>
        </w:rPr>
      </w:pPr>
      <w:r w:rsidRPr="00AA4884">
        <w:rPr>
          <w:rFonts w:ascii="Arial" w:hAnsi="Arial" w:cs="Arial"/>
        </w:rPr>
        <w:t xml:space="preserve">SUBJECT:  Project Qualifies as Category 2/3 Exempt Research, </w:t>
      </w:r>
      <w:r w:rsidRPr="00AA4884">
        <w:rPr>
          <w:rFonts w:ascii="Arial" w:hAnsi="Arial" w:cs="Arial"/>
          <w:b/>
        </w:rPr>
        <w:t>WRAIR #XXXX</w:t>
      </w:r>
    </w:p>
    <w:p w14:paraId="7568823C" w14:textId="77777777" w:rsidR="00AA4884" w:rsidRPr="00AA4884" w:rsidRDefault="00AA4884" w:rsidP="00AA4884">
      <w:pPr>
        <w:rPr>
          <w:rFonts w:ascii="Arial" w:hAnsi="Arial" w:cs="Arial"/>
          <w:b/>
        </w:rPr>
      </w:pPr>
    </w:p>
    <w:p w14:paraId="455940B1" w14:textId="77777777" w:rsidR="00AA4884" w:rsidRPr="00AA4884" w:rsidRDefault="00AA4884" w:rsidP="00AA4884">
      <w:pPr>
        <w:pStyle w:val="ListParagraph"/>
        <w:numPr>
          <w:ilvl w:val="0"/>
          <w:numId w:val="9"/>
        </w:numPr>
        <w:spacing w:after="160" w:line="256" w:lineRule="auto"/>
        <w:rPr>
          <w:rFonts w:ascii="Arial" w:hAnsi="Arial" w:cs="Arial"/>
        </w:rPr>
      </w:pPr>
      <w:r w:rsidRPr="00AA4884">
        <w:rPr>
          <w:rFonts w:ascii="Arial" w:hAnsi="Arial" w:cs="Arial"/>
        </w:rPr>
        <w:t xml:space="preserve">I approve the protocol, </w:t>
      </w:r>
      <w:r w:rsidRPr="00AA4884">
        <w:rPr>
          <w:rFonts w:ascii="Arial" w:hAnsi="Arial" w:cs="Arial"/>
          <w:b/>
        </w:rPr>
        <w:t>WRAIR #XXXX</w:t>
      </w:r>
      <w:r w:rsidRPr="00AA4884">
        <w:rPr>
          <w:rFonts w:ascii="Arial" w:hAnsi="Arial" w:cs="Arial"/>
        </w:rPr>
        <w:t>, titled, “TITLE,” (Version, date), submitted by PRINCIPAL INVESTIGATOR, DEPARTMENT, BRANCH, ADDRESS</w:t>
      </w:r>
    </w:p>
    <w:p w14:paraId="0C139AC0" w14:textId="77777777" w:rsidR="00AA4884" w:rsidRPr="00AA4884" w:rsidRDefault="00AA4884" w:rsidP="00AA4884">
      <w:pPr>
        <w:pStyle w:val="ListParagraph"/>
        <w:rPr>
          <w:rFonts w:ascii="Arial" w:hAnsi="Arial" w:cs="Arial"/>
        </w:rPr>
      </w:pPr>
    </w:p>
    <w:p w14:paraId="6724600F" w14:textId="77777777" w:rsidR="00AA4884" w:rsidRPr="00AA4884" w:rsidRDefault="00AA4884" w:rsidP="00AA4884">
      <w:pPr>
        <w:pStyle w:val="ListParagraph"/>
        <w:numPr>
          <w:ilvl w:val="0"/>
          <w:numId w:val="9"/>
        </w:numPr>
        <w:spacing w:after="160" w:line="256" w:lineRule="auto"/>
        <w:rPr>
          <w:rFonts w:ascii="Arial" w:hAnsi="Arial" w:cs="Arial"/>
        </w:rPr>
      </w:pPr>
      <w:r w:rsidRPr="00AA4884">
        <w:rPr>
          <w:rFonts w:ascii="Arial" w:hAnsi="Arial" w:cs="Arial"/>
        </w:rPr>
        <w:t xml:space="preserve">This protocol requires Limited IRB review, under expedited review procedures in accordance with Category 2/3. </w:t>
      </w:r>
    </w:p>
    <w:p w14:paraId="79861502" w14:textId="77777777" w:rsidR="00AA4884" w:rsidRPr="00AA4884" w:rsidRDefault="00AA4884" w:rsidP="00AA4884">
      <w:pPr>
        <w:pStyle w:val="ListParagraph"/>
        <w:rPr>
          <w:rFonts w:ascii="Arial" w:hAnsi="Arial" w:cs="Arial"/>
        </w:rPr>
      </w:pPr>
    </w:p>
    <w:p w14:paraId="02F4686A" w14:textId="77777777" w:rsidR="00AA4884" w:rsidRPr="00AA4884" w:rsidRDefault="00AA4884" w:rsidP="00CB1C34">
      <w:pPr>
        <w:pStyle w:val="BodyText"/>
        <w:kinsoku w:val="0"/>
        <w:overflowPunct w:val="0"/>
        <w:spacing w:before="56" w:line="254" w:lineRule="auto"/>
        <w:ind w:right="90"/>
        <w:rPr>
          <w:rFonts w:ascii="Arial" w:hAnsi="Arial" w:cs="Arial"/>
          <w:iCs/>
          <w:color w:val="231F20"/>
        </w:rPr>
      </w:pPr>
    </w:p>
    <w:sectPr w:rsidR="00AA4884" w:rsidRPr="00AA4884" w:rsidSect="00DC2F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AC9C" w14:textId="77777777" w:rsidR="00577396" w:rsidRDefault="00577396" w:rsidP="003225EC">
      <w:r>
        <w:separator/>
      </w:r>
    </w:p>
  </w:endnote>
  <w:endnote w:type="continuationSeparator" w:id="0">
    <w:p w14:paraId="21CCD3A6" w14:textId="77777777" w:rsidR="00577396" w:rsidRDefault="00577396"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62D5" w14:textId="77777777" w:rsidR="00184DBD" w:rsidRDefault="00184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E8B9" w14:textId="77777777" w:rsidR="00184DBD" w:rsidRDefault="00184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E9CD" w14:textId="77777777" w:rsidR="00184DBD" w:rsidRDefault="00184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AADD" w14:textId="77777777" w:rsidR="00577396" w:rsidRDefault="00577396" w:rsidP="003225EC">
      <w:r>
        <w:separator/>
      </w:r>
    </w:p>
  </w:footnote>
  <w:footnote w:type="continuationSeparator" w:id="0">
    <w:p w14:paraId="138709D5" w14:textId="77777777" w:rsidR="00577396" w:rsidRDefault="00577396"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C52F" w14:textId="77777777" w:rsidR="00184DBD" w:rsidRDefault="00184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77DA4F2E" w14:textId="1D4D83B8" w:rsidR="00AA4884" w:rsidRDefault="00AA4884" w:rsidP="00AA4884">
          <w:pPr>
            <w:tabs>
              <w:tab w:val="center" w:pos="4320"/>
              <w:tab w:val="right" w:pos="8640"/>
            </w:tabs>
            <w:rPr>
              <w:rFonts w:ascii="Arial" w:hAnsi="Arial" w:cs="Arial"/>
              <w:b/>
              <w:bCs/>
            </w:rPr>
          </w:pPr>
          <w:r>
            <w:rPr>
              <w:rFonts w:ascii="Arial" w:hAnsi="Arial" w:cs="Arial"/>
              <w:b/>
              <w:bCs/>
            </w:rPr>
            <w:t xml:space="preserve">APPENDIX </w:t>
          </w:r>
          <w:r w:rsidR="000664B4">
            <w:rPr>
              <w:rFonts w:ascii="Arial" w:hAnsi="Arial" w:cs="Arial"/>
              <w:b/>
              <w:bCs/>
            </w:rPr>
            <w:t>A</w:t>
          </w:r>
          <w:r>
            <w:rPr>
              <w:rFonts w:ascii="Arial" w:hAnsi="Arial" w:cs="Arial"/>
              <w:b/>
              <w:bCs/>
            </w:rPr>
            <w:t>6</w:t>
          </w:r>
        </w:p>
        <w:p w14:paraId="70F09A56" w14:textId="0D1C96CB" w:rsidR="00395C63" w:rsidRPr="00DD3A84" w:rsidRDefault="00AA4884" w:rsidP="00AA4884">
          <w:pPr>
            <w:rPr>
              <w:rFonts w:ascii="Arial" w:hAnsi="Arial" w:cs="Arial"/>
              <w:bCs/>
              <w:sz w:val="22"/>
              <w:szCs w:val="22"/>
            </w:rPr>
          </w:pPr>
          <w:r>
            <w:rPr>
              <w:rFonts w:ascii="Arial" w:hAnsi="Arial" w:cs="Arial"/>
              <w:b/>
              <w:bCs/>
            </w:rPr>
            <w:t>CONDUCTING INITIAL REVIEW OF SUBMISSIONS TO HSPB</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7D376629" w14:textId="701474DC" w:rsidR="00395C63" w:rsidRPr="00C23308" w:rsidRDefault="00AA4884" w:rsidP="003225EC">
          <w:pPr>
            <w:rPr>
              <w:rFonts w:ascii="Arial" w:hAnsi="Arial" w:cs="Arial"/>
              <w:sz w:val="22"/>
              <w:szCs w:val="22"/>
            </w:rPr>
          </w:pPr>
          <w:r>
            <w:rPr>
              <w:rFonts w:ascii="Arial" w:hAnsi="Arial" w:cs="Arial"/>
            </w:rPr>
            <w:t>UWS-HP-603</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06FA4A8E" w:rsidR="00395C63" w:rsidRPr="00C23308" w:rsidRDefault="00AA4884" w:rsidP="003225EC">
          <w:pPr>
            <w:rPr>
              <w:rFonts w:ascii="Arial" w:hAnsi="Arial" w:cs="Arial"/>
              <w:sz w:val="22"/>
              <w:szCs w:val="22"/>
            </w:rPr>
          </w:pPr>
          <w:r>
            <w:rPr>
              <w:rFonts w:ascii="Arial" w:hAnsi="Arial" w:cs="Arial"/>
              <w:sz w:val="22"/>
              <w:szCs w:val="22"/>
            </w:rPr>
            <w:t>.0</w:t>
          </w:r>
          <w:r w:rsidR="000664B4">
            <w:rPr>
              <w:rFonts w:ascii="Arial" w:hAnsi="Arial" w:cs="Arial"/>
              <w:sz w:val="22"/>
              <w:szCs w:val="22"/>
            </w:rPr>
            <w:t>3</w:t>
          </w:r>
        </w:p>
      </w:tc>
    </w:tr>
    <w:tr w:rsidR="00C52910" w:rsidRPr="00154992" w14:paraId="5056B8BB" w14:textId="77777777" w:rsidTr="004512BF">
      <w:trPr>
        <w:trHeight w:val="368"/>
      </w:trPr>
      <w:tc>
        <w:tcPr>
          <w:tcW w:w="3269" w:type="pct"/>
          <w:gridSpan w:val="2"/>
          <w:vAlign w:val="center"/>
        </w:tcPr>
        <w:p w14:paraId="06BA8CA7" w14:textId="5344488B"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184DBD">
            <w:rPr>
              <w:rFonts w:ascii="Arial" w:hAnsi="Arial" w:cs="Arial"/>
              <w:sz w:val="22"/>
              <w:szCs w:val="22"/>
            </w:rPr>
            <w:t xml:space="preserve">21 June </w:t>
          </w:r>
          <w:r w:rsidR="00184DBD">
            <w:rPr>
              <w:rFonts w:ascii="Arial" w:hAnsi="Arial" w:cs="Arial"/>
              <w:sz w:val="22"/>
              <w:szCs w:val="22"/>
            </w:rPr>
            <w:t>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513E" w14:textId="77777777" w:rsidR="00184DBD" w:rsidRDefault="00184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8F8"/>
    <w:multiLevelType w:val="hybridMultilevel"/>
    <w:tmpl w:val="FD762D72"/>
    <w:lvl w:ilvl="0" w:tplc="301ADE4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0E6703A"/>
    <w:multiLevelType w:val="hybridMultilevel"/>
    <w:tmpl w:val="A5009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0591"/>
    <w:multiLevelType w:val="hybridMultilevel"/>
    <w:tmpl w:val="A5009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090D2F"/>
    <w:multiLevelType w:val="hybridMultilevel"/>
    <w:tmpl w:val="622CAF88"/>
    <w:lvl w:ilvl="0" w:tplc="5810BF2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41246B8"/>
    <w:multiLevelType w:val="hybridMultilevel"/>
    <w:tmpl w:val="6DF6FEDA"/>
    <w:lvl w:ilvl="0" w:tplc="BF107C6A">
      <w:start w:val="1"/>
      <w:numFmt w:val="lowerLetter"/>
      <w:lvlText w:val="%1."/>
      <w:lvlJc w:val="left"/>
      <w:pPr>
        <w:ind w:left="1179" w:hanging="360"/>
      </w:pPr>
    </w:lvl>
    <w:lvl w:ilvl="1" w:tplc="04090019">
      <w:start w:val="1"/>
      <w:numFmt w:val="lowerLetter"/>
      <w:lvlText w:val="%2."/>
      <w:lvlJc w:val="left"/>
      <w:pPr>
        <w:ind w:left="1899" w:hanging="360"/>
      </w:pPr>
    </w:lvl>
    <w:lvl w:ilvl="2" w:tplc="0409001B">
      <w:start w:val="1"/>
      <w:numFmt w:val="lowerRoman"/>
      <w:lvlText w:val="%3."/>
      <w:lvlJc w:val="right"/>
      <w:pPr>
        <w:ind w:left="2619" w:hanging="180"/>
      </w:pPr>
    </w:lvl>
    <w:lvl w:ilvl="3" w:tplc="0409000F">
      <w:start w:val="1"/>
      <w:numFmt w:val="decimal"/>
      <w:lvlText w:val="%4."/>
      <w:lvlJc w:val="left"/>
      <w:pPr>
        <w:ind w:left="3339" w:hanging="360"/>
      </w:pPr>
    </w:lvl>
    <w:lvl w:ilvl="4" w:tplc="04090019">
      <w:start w:val="1"/>
      <w:numFmt w:val="lowerLetter"/>
      <w:lvlText w:val="%5."/>
      <w:lvlJc w:val="left"/>
      <w:pPr>
        <w:ind w:left="4059" w:hanging="360"/>
      </w:pPr>
    </w:lvl>
    <w:lvl w:ilvl="5" w:tplc="0409001B">
      <w:start w:val="1"/>
      <w:numFmt w:val="lowerRoman"/>
      <w:lvlText w:val="%6."/>
      <w:lvlJc w:val="right"/>
      <w:pPr>
        <w:ind w:left="4779" w:hanging="180"/>
      </w:pPr>
    </w:lvl>
    <w:lvl w:ilvl="6" w:tplc="0409000F">
      <w:start w:val="1"/>
      <w:numFmt w:val="decimal"/>
      <w:lvlText w:val="%7."/>
      <w:lvlJc w:val="left"/>
      <w:pPr>
        <w:ind w:left="5499" w:hanging="360"/>
      </w:pPr>
    </w:lvl>
    <w:lvl w:ilvl="7" w:tplc="04090019">
      <w:start w:val="1"/>
      <w:numFmt w:val="lowerLetter"/>
      <w:lvlText w:val="%8."/>
      <w:lvlJc w:val="left"/>
      <w:pPr>
        <w:ind w:left="6219" w:hanging="360"/>
      </w:pPr>
    </w:lvl>
    <w:lvl w:ilvl="8" w:tplc="0409001B">
      <w:start w:val="1"/>
      <w:numFmt w:val="lowerRoman"/>
      <w:lvlText w:val="%9."/>
      <w:lvlJc w:val="right"/>
      <w:pPr>
        <w:ind w:left="6939" w:hanging="180"/>
      </w:pPr>
    </w:lvl>
  </w:abstractNum>
  <w:abstractNum w:abstractNumId="5" w15:restartNumberingAfterBreak="0">
    <w:nsid w:val="451336C4"/>
    <w:multiLevelType w:val="hybridMultilevel"/>
    <w:tmpl w:val="6BDA2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40955"/>
    <w:multiLevelType w:val="hybridMultilevel"/>
    <w:tmpl w:val="7F0A2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10661"/>
    <w:multiLevelType w:val="hybridMultilevel"/>
    <w:tmpl w:val="CF04760E"/>
    <w:lvl w:ilvl="0" w:tplc="95182280">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949754E"/>
    <w:multiLevelType w:val="hybridMultilevel"/>
    <w:tmpl w:val="EF72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BA66B6"/>
    <w:multiLevelType w:val="hybridMultilevel"/>
    <w:tmpl w:val="43684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10"/>
  </w:num>
  <w:num w:numId="2" w16cid:durableId="607396645">
    <w:abstractNumId w:val="9"/>
  </w:num>
  <w:num w:numId="3" w16cid:durableId="1922592967">
    <w:abstractNumId w:val="5"/>
  </w:num>
  <w:num w:numId="4" w16cid:durableId="519663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722227">
    <w:abstractNumId w:val="6"/>
  </w:num>
  <w:num w:numId="6" w16cid:durableId="826627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7256984">
    <w:abstractNumId w:val="4"/>
  </w:num>
  <w:num w:numId="8" w16cid:durableId="1545100691">
    <w:abstractNumId w:val="1"/>
  </w:num>
  <w:num w:numId="9" w16cid:durableId="1667055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4595090">
    <w:abstractNumId w:val="2"/>
  </w:num>
  <w:num w:numId="11" w16cid:durableId="208809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3970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664B4"/>
    <w:rsid w:val="00071D1E"/>
    <w:rsid w:val="000754D0"/>
    <w:rsid w:val="00075506"/>
    <w:rsid w:val="000846EC"/>
    <w:rsid w:val="00085E6C"/>
    <w:rsid w:val="0008631B"/>
    <w:rsid w:val="000A5D86"/>
    <w:rsid w:val="000A7AE8"/>
    <w:rsid w:val="000B154E"/>
    <w:rsid w:val="000C1379"/>
    <w:rsid w:val="000C63B8"/>
    <w:rsid w:val="000C7642"/>
    <w:rsid w:val="000D7E70"/>
    <w:rsid w:val="000E68A9"/>
    <w:rsid w:val="00135517"/>
    <w:rsid w:val="00137A80"/>
    <w:rsid w:val="00137DBE"/>
    <w:rsid w:val="00155500"/>
    <w:rsid w:val="00157F94"/>
    <w:rsid w:val="001839E4"/>
    <w:rsid w:val="00184DBD"/>
    <w:rsid w:val="001A5455"/>
    <w:rsid w:val="001B4A5F"/>
    <w:rsid w:val="001C0FF3"/>
    <w:rsid w:val="001C2FCD"/>
    <w:rsid w:val="001D6C45"/>
    <w:rsid w:val="001E7317"/>
    <w:rsid w:val="001F0088"/>
    <w:rsid w:val="001F3D0C"/>
    <w:rsid w:val="001F7733"/>
    <w:rsid w:val="00222873"/>
    <w:rsid w:val="00266844"/>
    <w:rsid w:val="002758D7"/>
    <w:rsid w:val="002838C0"/>
    <w:rsid w:val="002947D3"/>
    <w:rsid w:val="002A76AD"/>
    <w:rsid w:val="002C41D6"/>
    <w:rsid w:val="002F13E8"/>
    <w:rsid w:val="002F4050"/>
    <w:rsid w:val="00303CC6"/>
    <w:rsid w:val="00312F6C"/>
    <w:rsid w:val="003225EC"/>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77396"/>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A4884"/>
    <w:rsid w:val="00AB02A9"/>
    <w:rsid w:val="00AC5099"/>
    <w:rsid w:val="00AE6156"/>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1C34"/>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8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BodyText">
    <w:name w:val="Body Text"/>
    <w:basedOn w:val="Normal"/>
    <w:link w:val="BodyTextChar"/>
    <w:uiPriority w:val="99"/>
    <w:semiHidden/>
    <w:unhideWhenUsed/>
    <w:rsid w:val="00CB1C34"/>
    <w:pPr>
      <w:spacing w:after="120"/>
    </w:pPr>
  </w:style>
  <w:style w:type="character" w:customStyle="1" w:styleId="BodyTextChar">
    <w:name w:val="Body Text Char"/>
    <w:basedOn w:val="DefaultParagraphFont"/>
    <w:link w:val="BodyText"/>
    <w:uiPriority w:val="99"/>
    <w:semiHidden/>
    <w:rsid w:val="00CB1C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73819691">
      <w:bodyDiv w:val="1"/>
      <w:marLeft w:val="0"/>
      <w:marRight w:val="0"/>
      <w:marTop w:val="0"/>
      <w:marBottom w:val="0"/>
      <w:divBdr>
        <w:top w:val="none" w:sz="0" w:space="0" w:color="auto"/>
        <w:left w:val="none" w:sz="0" w:space="0" w:color="auto"/>
        <w:bottom w:val="none" w:sz="0" w:space="0" w:color="auto"/>
        <w:right w:val="none" w:sz="0" w:space="0" w:color="auto"/>
      </w:divBdr>
    </w:div>
    <w:div w:id="384063897">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482893818">
      <w:bodyDiv w:val="1"/>
      <w:marLeft w:val="0"/>
      <w:marRight w:val="0"/>
      <w:marTop w:val="0"/>
      <w:marBottom w:val="0"/>
      <w:divBdr>
        <w:top w:val="none" w:sz="0" w:space="0" w:color="auto"/>
        <w:left w:val="none" w:sz="0" w:space="0" w:color="auto"/>
        <w:bottom w:val="none" w:sz="0" w:space="0" w:color="auto"/>
        <w:right w:val="none" w:sz="0" w:space="0" w:color="auto"/>
      </w:divBdr>
    </w:div>
    <w:div w:id="493570689">
      <w:bodyDiv w:val="1"/>
      <w:marLeft w:val="0"/>
      <w:marRight w:val="0"/>
      <w:marTop w:val="0"/>
      <w:marBottom w:val="0"/>
      <w:divBdr>
        <w:top w:val="none" w:sz="0" w:space="0" w:color="auto"/>
        <w:left w:val="none" w:sz="0" w:space="0" w:color="auto"/>
        <w:bottom w:val="none" w:sz="0" w:space="0" w:color="auto"/>
        <w:right w:val="none" w:sz="0" w:space="0" w:color="auto"/>
      </w:divBdr>
    </w:div>
    <w:div w:id="627668424">
      <w:bodyDiv w:val="1"/>
      <w:marLeft w:val="0"/>
      <w:marRight w:val="0"/>
      <w:marTop w:val="0"/>
      <w:marBottom w:val="0"/>
      <w:divBdr>
        <w:top w:val="none" w:sz="0" w:space="0" w:color="auto"/>
        <w:left w:val="none" w:sz="0" w:space="0" w:color="auto"/>
        <w:bottom w:val="none" w:sz="0" w:space="0" w:color="auto"/>
        <w:right w:val="none" w:sz="0" w:space="0" w:color="auto"/>
      </w:divBdr>
    </w:div>
    <w:div w:id="666052615">
      <w:bodyDiv w:val="1"/>
      <w:marLeft w:val="0"/>
      <w:marRight w:val="0"/>
      <w:marTop w:val="0"/>
      <w:marBottom w:val="0"/>
      <w:divBdr>
        <w:top w:val="none" w:sz="0" w:space="0" w:color="auto"/>
        <w:left w:val="none" w:sz="0" w:space="0" w:color="auto"/>
        <w:bottom w:val="none" w:sz="0" w:space="0" w:color="auto"/>
        <w:right w:val="none" w:sz="0" w:space="0" w:color="auto"/>
      </w:divBdr>
    </w:div>
    <w:div w:id="830801788">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4874">
      <w:bodyDiv w:val="1"/>
      <w:marLeft w:val="0"/>
      <w:marRight w:val="0"/>
      <w:marTop w:val="0"/>
      <w:marBottom w:val="0"/>
      <w:divBdr>
        <w:top w:val="none" w:sz="0" w:space="0" w:color="auto"/>
        <w:left w:val="none" w:sz="0" w:space="0" w:color="auto"/>
        <w:bottom w:val="none" w:sz="0" w:space="0" w:color="auto"/>
        <w:right w:val="none" w:sz="0" w:space="0" w:color="auto"/>
      </w:divBdr>
    </w:div>
    <w:div w:id="1232548248">
      <w:bodyDiv w:val="1"/>
      <w:marLeft w:val="0"/>
      <w:marRight w:val="0"/>
      <w:marTop w:val="0"/>
      <w:marBottom w:val="0"/>
      <w:divBdr>
        <w:top w:val="none" w:sz="0" w:space="0" w:color="auto"/>
        <w:left w:val="none" w:sz="0" w:space="0" w:color="auto"/>
        <w:bottom w:val="none" w:sz="0" w:space="0" w:color="auto"/>
        <w:right w:val="none" w:sz="0" w:space="0" w:color="auto"/>
      </w:divBdr>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707870073">
      <w:bodyDiv w:val="1"/>
      <w:marLeft w:val="0"/>
      <w:marRight w:val="0"/>
      <w:marTop w:val="0"/>
      <w:marBottom w:val="0"/>
      <w:divBdr>
        <w:top w:val="none" w:sz="0" w:space="0" w:color="auto"/>
        <w:left w:val="none" w:sz="0" w:space="0" w:color="auto"/>
        <w:bottom w:val="none" w:sz="0" w:space="0" w:color="auto"/>
        <w:right w:val="none" w:sz="0" w:space="0" w:color="auto"/>
      </w:divBdr>
    </w:div>
    <w:div w:id="1798260646">
      <w:bodyDiv w:val="1"/>
      <w:marLeft w:val="0"/>
      <w:marRight w:val="0"/>
      <w:marTop w:val="0"/>
      <w:marBottom w:val="0"/>
      <w:divBdr>
        <w:top w:val="none" w:sz="0" w:space="0" w:color="auto"/>
        <w:left w:val="none" w:sz="0" w:space="0" w:color="auto"/>
        <w:bottom w:val="none" w:sz="0" w:space="0" w:color="auto"/>
        <w:right w:val="none" w:sz="0" w:space="0" w:color="auto"/>
      </w:divBdr>
    </w:div>
    <w:div w:id="1831944417">
      <w:bodyDiv w:val="1"/>
      <w:marLeft w:val="0"/>
      <w:marRight w:val="0"/>
      <w:marTop w:val="0"/>
      <w:marBottom w:val="0"/>
      <w:divBdr>
        <w:top w:val="none" w:sz="0" w:space="0" w:color="auto"/>
        <w:left w:val="none" w:sz="0" w:space="0" w:color="auto"/>
        <w:bottom w:val="none" w:sz="0" w:space="0" w:color="auto"/>
        <w:right w:val="none" w:sz="0" w:space="0" w:color="auto"/>
      </w:divBdr>
    </w:div>
    <w:div w:id="1850218773">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12813651">
      <w:bodyDiv w:val="1"/>
      <w:marLeft w:val="0"/>
      <w:marRight w:val="0"/>
      <w:marTop w:val="0"/>
      <w:marBottom w:val="0"/>
      <w:divBdr>
        <w:top w:val="none" w:sz="0" w:space="0" w:color="auto"/>
        <w:left w:val="none" w:sz="0" w:space="0" w:color="auto"/>
        <w:bottom w:val="none" w:sz="0" w:space="0" w:color="auto"/>
        <w:right w:val="none" w:sz="0" w:space="0" w:color="auto"/>
      </w:divBdr>
    </w:div>
    <w:div w:id="1933857620">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2</cp:revision>
  <cp:lastPrinted>2024-04-25T16:14:00Z</cp:lastPrinted>
  <dcterms:created xsi:type="dcterms:W3CDTF">2024-06-21T00:51:00Z</dcterms:created>
  <dcterms:modified xsi:type="dcterms:W3CDTF">2024-06-21T00:51:00Z</dcterms:modified>
</cp:coreProperties>
</file>